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FC32" w14:textId="77777777" w:rsidR="004F4570" w:rsidRPr="00EA1A28" w:rsidRDefault="004F4570" w:rsidP="00A72665">
      <w:pPr>
        <w:spacing w:after="0"/>
        <w:jc w:val="both"/>
        <w:rPr>
          <w:rFonts w:ascii="Arial" w:hAnsi="Arial" w:cs="Arial"/>
        </w:rPr>
      </w:pPr>
    </w:p>
    <w:p w14:paraId="659F0891" w14:textId="4EF689C8" w:rsidR="004F4570" w:rsidRPr="00EA1A28" w:rsidRDefault="00F51FEB" w:rsidP="00A72665">
      <w:pPr>
        <w:spacing w:after="0"/>
        <w:jc w:val="right"/>
        <w:rPr>
          <w:rFonts w:ascii="Arial" w:hAnsi="Arial" w:cs="Arial"/>
        </w:rPr>
      </w:pPr>
      <w:r w:rsidRPr="00EA1A28">
        <w:rPr>
          <w:rFonts w:ascii="Arial" w:hAnsi="Arial" w:cs="Arial"/>
        </w:rPr>
        <w:t xml:space="preserve">Warszawa, dnia </w:t>
      </w:r>
      <w:r w:rsidR="00471983">
        <w:rPr>
          <w:rFonts w:ascii="Arial" w:hAnsi="Arial" w:cs="Arial"/>
        </w:rPr>
        <w:t>23</w:t>
      </w:r>
      <w:r w:rsidR="00A72665">
        <w:rPr>
          <w:rFonts w:ascii="Arial" w:hAnsi="Arial" w:cs="Arial"/>
        </w:rPr>
        <w:t xml:space="preserve"> sierpnia</w:t>
      </w:r>
      <w:r w:rsidR="00250EFF" w:rsidRPr="00EA1A28">
        <w:rPr>
          <w:rFonts w:ascii="Arial" w:hAnsi="Arial" w:cs="Arial"/>
        </w:rPr>
        <w:t xml:space="preserve"> 2017</w:t>
      </w:r>
      <w:r w:rsidR="00561DF0" w:rsidRPr="00EA1A28">
        <w:rPr>
          <w:rFonts w:ascii="Arial" w:hAnsi="Arial" w:cs="Arial"/>
        </w:rPr>
        <w:t xml:space="preserve"> roku</w:t>
      </w:r>
    </w:p>
    <w:p w14:paraId="21188D00" w14:textId="77777777" w:rsidR="00646C30" w:rsidRPr="00EA1A28" w:rsidRDefault="00646C30" w:rsidP="00A72665">
      <w:pPr>
        <w:tabs>
          <w:tab w:val="left" w:pos="0"/>
        </w:tabs>
        <w:spacing w:after="0"/>
        <w:rPr>
          <w:rFonts w:ascii="Arial" w:hAnsi="Arial" w:cs="Arial"/>
          <w:b/>
        </w:rPr>
      </w:pPr>
    </w:p>
    <w:p w14:paraId="45E6092C" w14:textId="77777777" w:rsidR="004F4570" w:rsidRPr="00EA1A28" w:rsidRDefault="004F4570" w:rsidP="00A72665">
      <w:pPr>
        <w:tabs>
          <w:tab w:val="left" w:pos="0"/>
        </w:tabs>
        <w:spacing w:after="0"/>
        <w:jc w:val="center"/>
        <w:rPr>
          <w:rFonts w:ascii="Arial" w:eastAsia="Trebuchet MS Bold" w:hAnsi="Arial" w:cs="Arial"/>
          <w:b/>
        </w:rPr>
      </w:pPr>
    </w:p>
    <w:p w14:paraId="24FAC476" w14:textId="77777777" w:rsidR="004F4570" w:rsidRPr="00EA1A28" w:rsidRDefault="00EF74A9" w:rsidP="00A72665">
      <w:pPr>
        <w:tabs>
          <w:tab w:val="left" w:pos="0"/>
        </w:tabs>
        <w:spacing w:after="0"/>
        <w:jc w:val="center"/>
        <w:rPr>
          <w:rFonts w:ascii="Arial" w:eastAsia="Trebuchet MS Bold" w:hAnsi="Arial" w:cs="Arial"/>
          <w:b/>
        </w:rPr>
      </w:pPr>
      <w:r w:rsidRPr="00EA1A28">
        <w:rPr>
          <w:rFonts w:ascii="Arial" w:hAnsi="Arial" w:cs="Arial"/>
          <w:b/>
        </w:rPr>
        <w:t>Prokuratura Rejonowa</w:t>
      </w:r>
    </w:p>
    <w:p w14:paraId="434FB6C9" w14:textId="77777777" w:rsidR="004F4570" w:rsidRPr="00EA1A28" w:rsidRDefault="00561DF0" w:rsidP="00A72665">
      <w:pPr>
        <w:tabs>
          <w:tab w:val="left" w:pos="0"/>
        </w:tabs>
        <w:spacing w:after="0"/>
        <w:jc w:val="center"/>
        <w:rPr>
          <w:rFonts w:ascii="Arial" w:eastAsia="Trebuchet MS Bold" w:hAnsi="Arial" w:cs="Arial"/>
          <w:b/>
        </w:rPr>
      </w:pPr>
      <w:r w:rsidRPr="00EA1A28">
        <w:rPr>
          <w:rFonts w:ascii="Arial" w:hAnsi="Arial" w:cs="Arial"/>
          <w:b/>
        </w:rPr>
        <w:t>Warszawa-</w:t>
      </w:r>
      <w:r w:rsidR="00EF74A9" w:rsidRPr="00EA1A28">
        <w:rPr>
          <w:rFonts w:ascii="Arial" w:hAnsi="Arial" w:cs="Arial"/>
          <w:b/>
        </w:rPr>
        <w:t>Śródmieście</w:t>
      </w:r>
    </w:p>
    <w:p w14:paraId="642427A4" w14:textId="77777777" w:rsidR="00EF74A9" w:rsidRPr="00EA1A28" w:rsidRDefault="00EF74A9" w:rsidP="00A72665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EA1A28">
        <w:rPr>
          <w:rFonts w:ascii="Arial" w:hAnsi="Arial" w:cs="Arial"/>
          <w:b/>
        </w:rPr>
        <w:t xml:space="preserve">ul. Krucza 38/42 </w:t>
      </w:r>
    </w:p>
    <w:p w14:paraId="5A11AAA0" w14:textId="77777777" w:rsidR="004F4570" w:rsidRPr="00EA1A28" w:rsidRDefault="00EF74A9" w:rsidP="00A72665">
      <w:pPr>
        <w:tabs>
          <w:tab w:val="left" w:pos="0"/>
        </w:tabs>
        <w:spacing w:after="0"/>
        <w:jc w:val="center"/>
        <w:rPr>
          <w:rFonts w:ascii="Arial" w:eastAsia="Trebuchet MS Bold" w:hAnsi="Arial" w:cs="Arial"/>
          <w:b/>
        </w:rPr>
      </w:pPr>
      <w:r w:rsidRPr="00EA1A28">
        <w:rPr>
          <w:rFonts w:ascii="Arial" w:hAnsi="Arial" w:cs="Arial"/>
          <w:b/>
        </w:rPr>
        <w:t>00-001 Warszawa</w:t>
      </w:r>
    </w:p>
    <w:p w14:paraId="72CB931D" w14:textId="77777777" w:rsidR="004F4570" w:rsidRDefault="004F4570" w:rsidP="00A72665">
      <w:pPr>
        <w:spacing w:after="0"/>
        <w:jc w:val="both"/>
        <w:rPr>
          <w:rFonts w:ascii="Arial" w:eastAsia="Trebuchet MS Bold" w:hAnsi="Arial" w:cs="Arial"/>
        </w:rPr>
      </w:pPr>
    </w:p>
    <w:p w14:paraId="06D7BB52" w14:textId="77777777" w:rsidR="00EA1A28" w:rsidRPr="00EA1A28" w:rsidRDefault="00EA1A28" w:rsidP="00A72665">
      <w:pPr>
        <w:spacing w:after="0"/>
        <w:jc w:val="both"/>
        <w:rPr>
          <w:rFonts w:ascii="Arial" w:eastAsia="Trebuchet MS Bold" w:hAnsi="Arial" w:cs="Arial"/>
        </w:rPr>
      </w:pPr>
    </w:p>
    <w:p w14:paraId="1D39EEF7" w14:textId="77777777" w:rsidR="00646C30" w:rsidRPr="00EA1A28" w:rsidRDefault="00646C30" w:rsidP="00EA1A28">
      <w:pPr>
        <w:spacing w:after="0"/>
        <w:ind w:left="5103"/>
        <w:jc w:val="both"/>
        <w:rPr>
          <w:rFonts w:ascii="Arial" w:hAnsi="Arial" w:cs="Arial"/>
          <w:b/>
        </w:rPr>
      </w:pPr>
    </w:p>
    <w:p w14:paraId="529139B8" w14:textId="77777777" w:rsidR="00A72665" w:rsidRDefault="00646C30" w:rsidP="00A72665">
      <w:pPr>
        <w:spacing w:after="0"/>
        <w:ind w:left="5670"/>
        <w:jc w:val="both"/>
        <w:rPr>
          <w:rFonts w:ascii="Arial" w:hAnsi="Arial" w:cs="Arial"/>
          <w:b/>
        </w:rPr>
      </w:pPr>
      <w:r w:rsidRPr="00EA1A28">
        <w:rPr>
          <w:rFonts w:ascii="Arial" w:hAnsi="Arial" w:cs="Arial"/>
          <w:b/>
        </w:rPr>
        <w:t>Zawiadamiający</w:t>
      </w:r>
      <w:r w:rsidR="00561DF0" w:rsidRPr="00EA1A28">
        <w:rPr>
          <w:rFonts w:ascii="Arial" w:hAnsi="Arial" w:cs="Arial"/>
          <w:b/>
        </w:rPr>
        <w:t xml:space="preserve">: </w:t>
      </w:r>
    </w:p>
    <w:p w14:paraId="28602655" w14:textId="77777777" w:rsidR="00A72665" w:rsidRDefault="00A72665" w:rsidP="00A72665">
      <w:pPr>
        <w:spacing w:after="0"/>
        <w:ind w:left="5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Tadeusz Jakrzewski</w:t>
      </w:r>
    </w:p>
    <w:p w14:paraId="0BAB403B" w14:textId="77777777" w:rsidR="004F4570" w:rsidRDefault="00A72665" w:rsidP="00A72665">
      <w:pPr>
        <w:spacing w:after="0"/>
        <w:ind w:left="5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Wojciech Kinasiewicz</w:t>
      </w:r>
    </w:p>
    <w:p w14:paraId="43CBD77F" w14:textId="77777777" w:rsidR="00A72665" w:rsidRDefault="00A72665" w:rsidP="00A72665">
      <w:pPr>
        <w:spacing w:after="0"/>
        <w:ind w:left="5670"/>
        <w:jc w:val="both"/>
        <w:rPr>
          <w:rFonts w:ascii="Arial" w:hAnsi="Arial" w:cs="Arial"/>
          <w:b/>
        </w:rPr>
      </w:pPr>
    </w:p>
    <w:p w14:paraId="7E170896" w14:textId="09DB5537" w:rsidR="00A72665" w:rsidRDefault="00A72665" w:rsidP="00A72665">
      <w:pPr>
        <w:spacing w:after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72665">
        <w:rPr>
          <w:rFonts w:ascii="Arial" w:hAnsi="Arial" w:cs="Arial"/>
        </w:rPr>
        <w:t>dres do doręczeń</w:t>
      </w:r>
      <w:r w:rsidR="00471983">
        <w:rPr>
          <w:rFonts w:ascii="Arial" w:hAnsi="Arial" w:cs="Arial"/>
        </w:rPr>
        <w:t>:</w:t>
      </w:r>
    </w:p>
    <w:p w14:paraId="0E4BB7EA" w14:textId="261FE587" w:rsidR="00471983" w:rsidRDefault="00471983" w:rsidP="00A72665">
      <w:pPr>
        <w:spacing w:after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01-644 Warszawa</w:t>
      </w:r>
    </w:p>
    <w:p w14:paraId="3E60E437" w14:textId="1F2D9022" w:rsidR="00471983" w:rsidRPr="00A72665" w:rsidRDefault="00471983" w:rsidP="00A72665">
      <w:pPr>
        <w:spacing w:after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Dembińskiego 4b </w:t>
      </w:r>
    </w:p>
    <w:p w14:paraId="54B16072" w14:textId="77777777" w:rsidR="00FB49E1" w:rsidRPr="00EA1A28" w:rsidRDefault="00FB49E1" w:rsidP="00EA1A28">
      <w:pPr>
        <w:spacing w:after="0"/>
        <w:ind w:left="6096"/>
        <w:jc w:val="both"/>
        <w:rPr>
          <w:rFonts w:ascii="Arial" w:hAnsi="Arial" w:cs="Arial"/>
          <w:b/>
        </w:rPr>
      </w:pPr>
    </w:p>
    <w:p w14:paraId="33CDDC4B" w14:textId="77777777" w:rsidR="00646C30" w:rsidRDefault="00646C30" w:rsidP="00A72665">
      <w:pPr>
        <w:spacing w:after="0"/>
        <w:jc w:val="both"/>
        <w:rPr>
          <w:rFonts w:ascii="Arial" w:hAnsi="Arial" w:cs="Arial"/>
        </w:rPr>
      </w:pPr>
    </w:p>
    <w:p w14:paraId="7B88EBC7" w14:textId="77777777" w:rsidR="00A72665" w:rsidRPr="00EA1A28" w:rsidRDefault="00A72665" w:rsidP="00A72665">
      <w:pPr>
        <w:spacing w:after="0"/>
        <w:jc w:val="both"/>
        <w:rPr>
          <w:rFonts w:ascii="Arial" w:hAnsi="Arial" w:cs="Arial"/>
        </w:rPr>
      </w:pPr>
    </w:p>
    <w:p w14:paraId="4ECA3CE2" w14:textId="77777777" w:rsidR="004F4570" w:rsidRPr="00EA1A28" w:rsidRDefault="00561DF0" w:rsidP="00EA1A28">
      <w:pPr>
        <w:spacing w:after="0"/>
        <w:jc w:val="center"/>
        <w:rPr>
          <w:rFonts w:ascii="Arial" w:hAnsi="Arial" w:cs="Arial"/>
          <w:b/>
        </w:rPr>
      </w:pPr>
      <w:r w:rsidRPr="00EA1A28">
        <w:rPr>
          <w:rFonts w:ascii="Arial" w:hAnsi="Arial" w:cs="Arial"/>
          <w:b/>
        </w:rPr>
        <w:t xml:space="preserve">ZAWIADOMIENIE O PODEJRZENIU POPEŁNIENIA PRZESTĘPSTWA </w:t>
      </w:r>
    </w:p>
    <w:p w14:paraId="3F8E933A" w14:textId="77777777" w:rsidR="00EA1A28" w:rsidRPr="00EA1A28" w:rsidRDefault="00EA1A28" w:rsidP="00EA1A28">
      <w:pPr>
        <w:spacing w:after="0"/>
        <w:jc w:val="center"/>
        <w:rPr>
          <w:rFonts w:ascii="Arial" w:eastAsia="Trebuchet MS Bold" w:hAnsi="Arial" w:cs="Arial"/>
        </w:rPr>
      </w:pPr>
    </w:p>
    <w:p w14:paraId="5BB2EBD7" w14:textId="77777777" w:rsidR="004F4570" w:rsidRPr="00EA1A28" w:rsidRDefault="004F4570" w:rsidP="00EA1A28">
      <w:pPr>
        <w:spacing w:after="0"/>
        <w:jc w:val="both"/>
        <w:rPr>
          <w:rFonts w:ascii="Arial" w:eastAsia="Trebuchet MS Bold" w:hAnsi="Arial" w:cs="Arial"/>
        </w:rPr>
      </w:pPr>
    </w:p>
    <w:p w14:paraId="7A0E73CA" w14:textId="77777777" w:rsidR="004F4570" w:rsidRPr="00EA1A28" w:rsidRDefault="006606B1" w:rsidP="00EA1A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My</w:t>
      </w:r>
      <w:r w:rsidR="00C24A89" w:rsidRPr="00EA1A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niżej podpisani</w:t>
      </w:r>
      <w:r w:rsidR="00A72665">
        <w:rPr>
          <w:rFonts w:ascii="Arial" w:hAnsi="Arial" w:cs="Arial"/>
        </w:rPr>
        <w:t xml:space="preserve"> – Wojciech Kinasiewicz i Tadeusz Jakrzewski –</w:t>
      </w:r>
      <w:r w:rsidR="00C24A89" w:rsidRPr="00EA1A28">
        <w:rPr>
          <w:rFonts w:ascii="Arial" w:hAnsi="Arial" w:cs="Arial"/>
        </w:rPr>
        <w:t xml:space="preserve"> zawiadamiam</w:t>
      </w:r>
      <w:r w:rsidR="00410C03">
        <w:rPr>
          <w:rFonts w:ascii="Arial" w:hAnsi="Arial" w:cs="Arial"/>
        </w:rPr>
        <w:t>y</w:t>
      </w:r>
      <w:r w:rsidR="00C24A89" w:rsidRPr="00EA1A28">
        <w:rPr>
          <w:rFonts w:ascii="Arial" w:hAnsi="Arial" w:cs="Arial"/>
        </w:rPr>
        <w:t xml:space="preserve"> o </w:t>
      </w:r>
      <w:r w:rsidR="00561DF0" w:rsidRPr="00EA1A28">
        <w:rPr>
          <w:rFonts w:ascii="Arial" w:hAnsi="Arial" w:cs="Arial"/>
          <w:b/>
        </w:rPr>
        <w:t xml:space="preserve"> </w:t>
      </w:r>
      <w:bookmarkStart w:id="0" w:name="_GoBack"/>
      <w:r w:rsidR="00561DF0" w:rsidRPr="00EA1A28">
        <w:rPr>
          <w:rFonts w:ascii="Arial" w:hAnsi="Arial" w:cs="Arial"/>
          <w:b/>
        </w:rPr>
        <w:t xml:space="preserve">podejrzeniu popełnienia przestępstwa </w:t>
      </w:r>
      <w:r w:rsidR="00807B43" w:rsidRPr="00EA1A28">
        <w:rPr>
          <w:rFonts w:ascii="Arial" w:hAnsi="Arial" w:cs="Arial"/>
          <w:b/>
        </w:rPr>
        <w:t>polegając</w:t>
      </w:r>
      <w:r w:rsidR="00561DF0" w:rsidRPr="00EA1A28">
        <w:rPr>
          <w:rFonts w:ascii="Arial" w:hAnsi="Arial" w:cs="Arial"/>
          <w:b/>
        </w:rPr>
        <w:t>ego na</w:t>
      </w:r>
      <w:r w:rsidR="00561DF0" w:rsidRPr="00EA1A28">
        <w:rPr>
          <w:rFonts w:ascii="Arial" w:hAnsi="Arial" w:cs="Arial"/>
        </w:rPr>
        <w:t xml:space="preserve"> </w:t>
      </w:r>
      <w:r w:rsidR="00250EFF" w:rsidRPr="00EA1A28">
        <w:rPr>
          <w:rFonts w:ascii="Arial" w:hAnsi="Arial" w:cs="Arial"/>
        </w:rPr>
        <w:t xml:space="preserve">przekroczeniu uprawnień przy wykonywaniu </w:t>
      </w:r>
      <w:r w:rsidR="00370D4C" w:rsidRPr="00EA1A28">
        <w:rPr>
          <w:rFonts w:ascii="Arial" w:hAnsi="Arial" w:cs="Arial"/>
        </w:rPr>
        <w:t>funkcji publicz</w:t>
      </w:r>
      <w:r w:rsidR="009048D9" w:rsidRPr="00EA1A28">
        <w:rPr>
          <w:rFonts w:ascii="Arial" w:hAnsi="Arial" w:cs="Arial"/>
        </w:rPr>
        <w:t>nej przez funkcjonariuszy</w:t>
      </w:r>
      <w:r w:rsidR="00370D4C" w:rsidRPr="00EA1A28">
        <w:rPr>
          <w:rFonts w:ascii="Arial" w:hAnsi="Arial" w:cs="Arial"/>
        </w:rPr>
        <w:t xml:space="preserve"> </w:t>
      </w:r>
      <w:r w:rsidR="00267EFF" w:rsidRPr="00EA1A28">
        <w:rPr>
          <w:rFonts w:ascii="Arial" w:hAnsi="Arial" w:cs="Arial"/>
        </w:rPr>
        <w:t>P</w:t>
      </w:r>
      <w:r w:rsidR="00370D4C" w:rsidRPr="00EA1A28">
        <w:rPr>
          <w:rFonts w:ascii="Arial" w:hAnsi="Arial" w:cs="Arial"/>
        </w:rPr>
        <w:t xml:space="preserve">olicji, poprzez </w:t>
      </w:r>
      <w:r w:rsidR="009048D9" w:rsidRPr="00EA1A28">
        <w:rPr>
          <w:rFonts w:ascii="Arial" w:hAnsi="Arial" w:cs="Arial"/>
        </w:rPr>
        <w:t>bezpodstawne</w:t>
      </w:r>
      <w:r w:rsidR="00370D4C" w:rsidRPr="00EA1A28">
        <w:rPr>
          <w:rFonts w:ascii="Arial" w:hAnsi="Arial" w:cs="Arial"/>
        </w:rPr>
        <w:t xml:space="preserve"> wdrażanie czynności operacyjno – rozpoznawczych</w:t>
      </w:r>
      <w:r w:rsidR="00556AF9" w:rsidRPr="00EA1A28">
        <w:rPr>
          <w:rFonts w:ascii="Arial" w:hAnsi="Arial" w:cs="Arial"/>
        </w:rPr>
        <w:t xml:space="preserve"> w</w:t>
      </w:r>
      <w:r w:rsidR="00EF74A9" w:rsidRPr="00EA1A28">
        <w:rPr>
          <w:rFonts w:ascii="Arial" w:hAnsi="Arial" w:cs="Arial"/>
        </w:rPr>
        <w:t xml:space="preserve"> </w:t>
      </w:r>
      <w:r w:rsidR="009048D9" w:rsidRPr="00EA1A28">
        <w:rPr>
          <w:rFonts w:ascii="Arial" w:hAnsi="Arial" w:cs="Arial"/>
        </w:rPr>
        <w:t xml:space="preserve">stosunku </w:t>
      </w:r>
      <w:r w:rsidR="00F4639F">
        <w:rPr>
          <w:rFonts w:ascii="Arial" w:hAnsi="Arial" w:cs="Arial"/>
        </w:rPr>
        <w:t xml:space="preserve">do </w:t>
      </w:r>
      <w:r w:rsidR="009048D9" w:rsidRPr="00EA1A28">
        <w:rPr>
          <w:rFonts w:ascii="Arial" w:hAnsi="Arial" w:cs="Arial"/>
        </w:rPr>
        <w:t xml:space="preserve">członków Fundacji </w:t>
      </w:r>
      <w:r w:rsidR="00370D4C" w:rsidRPr="00EA1A28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Wolni </w:t>
      </w:r>
      <w:r w:rsidR="00370D4C" w:rsidRPr="00EA1A28">
        <w:rPr>
          <w:rFonts w:ascii="Arial" w:hAnsi="Arial" w:cs="Arial"/>
        </w:rPr>
        <w:t xml:space="preserve">Obywatele RP” (w tym </w:t>
      </w:r>
      <w:r>
        <w:rPr>
          <w:rFonts w:ascii="Arial" w:hAnsi="Arial" w:cs="Arial"/>
        </w:rPr>
        <w:t>w szczególności</w:t>
      </w:r>
      <w:r w:rsidR="00370D4C" w:rsidRPr="00EA1A28">
        <w:rPr>
          <w:rFonts w:ascii="Arial" w:hAnsi="Arial" w:cs="Arial"/>
        </w:rPr>
        <w:t xml:space="preserve"> w stosunku do </w:t>
      </w:r>
      <w:r w:rsidR="00C1446B" w:rsidRPr="00EA1A28">
        <w:rPr>
          <w:rFonts w:ascii="Arial" w:hAnsi="Arial" w:cs="Arial"/>
        </w:rPr>
        <w:t>Pana Tadeusza J</w:t>
      </w:r>
      <w:r w:rsidR="00EF74A9" w:rsidRPr="00EA1A28">
        <w:rPr>
          <w:rFonts w:ascii="Arial" w:hAnsi="Arial" w:cs="Arial"/>
        </w:rPr>
        <w:t>akrzewskiego</w:t>
      </w:r>
      <w:r>
        <w:rPr>
          <w:rFonts w:ascii="Arial" w:hAnsi="Arial" w:cs="Arial"/>
        </w:rPr>
        <w:t xml:space="preserve">), a także osób zaangażowanych w działalność Ruchu Obywateli RP (między innymi w stosunku do </w:t>
      </w:r>
      <w:r w:rsidRPr="00EA1A28">
        <w:rPr>
          <w:rFonts w:ascii="Arial" w:hAnsi="Arial" w:cs="Arial"/>
        </w:rPr>
        <w:t>Pana Wojciech</w:t>
      </w:r>
      <w:r>
        <w:rPr>
          <w:rFonts w:ascii="Arial" w:hAnsi="Arial" w:cs="Arial"/>
        </w:rPr>
        <w:t xml:space="preserve">a Kinasiewicza) </w:t>
      </w:r>
      <w:r w:rsidR="009048D9" w:rsidRPr="00EA1A28">
        <w:rPr>
          <w:rFonts w:ascii="Arial" w:hAnsi="Arial" w:cs="Arial"/>
        </w:rPr>
        <w:t>- mających na celu bieżącą inwigilację i obserwację podejmowanych przez nich czynności</w:t>
      </w:r>
    </w:p>
    <w:p w14:paraId="177D00AD" w14:textId="77777777" w:rsidR="00646C30" w:rsidRDefault="00646C30" w:rsidP="00EA1A28">
      <w:pPr>
        <w:spacing w:after="0"/>
        <w:jc w:val="both"/>
        <w:rPr>
          <w:rFonts w:ascii="Arial" w:hAnsi="Arial" w:cs="Arial"/>
        </w:rPr>
      </w:pPr>
    </w:p>
    <w:p w14:paraId="318F9CBA" w14:textId="77777777" w:rsidR="00EA1A28" w:rsidRDefault="00EA1A28" w:rsidP="00EA1A28">
      <w:pPr>
        <w:spacing w:after="0"/>
        <w:jc w:val="both"/>
        <w:rPr>
          <w:rFonts w:ascii="Arial" w:hAnsi="Arial" w:cs="Arial"/>
        </w:rPr>
      </w:pPr>
    </w:p>
    <w:p w14:paraId="6D7C6808" w14:textId="77777777" w:rsidR="00EA1A28" w:rsidRPr="00EA1A28" w:rsidRDefault="00EA1A28" w:rsidP="00EA1A28">
      <w:pPr>
        <w:spacing w:after="0"/>
        <w:jc w:val="both"/>
        <w:rPr>
          <w:rFonts w:ascii="Arial" w:hAnsi="Arial" w:cs="Arial"/>
        </w:rPr>
      </w:pPr>
    </w:p>
    <w:p w14:paraId="58AFDA4A" w14:textId="77777777" w:rsidR="004F4570" w:rsidRPr="00EA1A28" w:rsidRDefault="00293C1C" w:rsidP="00EA1A28">
      <w:pPr>
        <w:spacing w:after="0"/>
        <w:jc w:val="center"/>
        <w:rPr>
          <w:rFonts w:ascii="Arial" w:hAnsi="Arial" w:cs="Arial"/>
          <w:b/>
        </w:rPr>
      </w:pPr>
      <w:r w:rsidRPr="00EA1A28">
        <w:rPr>
          <w:rFonts w:ascii="Arial" w:hAnsi="Arial" w:cs="Arial"/>
          <w:b/>
        </w:rPr>
        <w:t>tj. dopuścili się</w:t>
      </w:r>
      <w:r w:rsidR="00561DF0" w:rsidRPr="00EA1A28">
        <w:rPr>
          <w:rFonts w:ascii="Arial" w:hAnsi="Arial" w:cs="Arial"/>
          <w:b/>
        </w:rPr>
        <w:t xml:space="preserve"> przestępstwa określonego w art. 2</w:t>
      </w:r>
      <w:r w:rsidR="00556AF9" w:rsidRPr="00EA1A28">
        <w:rPr>
          <w:rFonts w:ascii="Arial" w:hAnsi="Arial" w:cs="Arial"/>
          <w:b/>
        </w:rPr>
        <w:t>31 §1 ustawy z 6 czerwca 1997 roku Kodeks karny (dalej „KK”)</w:t>
      </w:r>
      <w:r w:rsidR="00561DF0" w:rsidRPr="00EA1A28">
        <w:rPr>
          <w:rFonts w:ascii="Arial" w:hAnsi="Arial" w:cs="Arial"/>
          <w:b/>
        </w:rPr>
        <w:t>.</w:t>
      </w:r>
      <w:bookmarkEnd w:id="0"/>
    </w:p>
    <w:p w14:paraId="6D562B90" w14:textId="77777777" w:rsidR="00646C30" w:rsidRPr="00EA1A28" w:rsidRDefault="00646C30" w:rsidP="00EA1A28">
      <w:pPr>
        <w:spacing w:after="0"/>
        <w:jc w:val="both"/>
        <w:rPr>
          <w:rFonts w:ascii="Arial" w:hAnsi="Arial" w:cs="Arial"/>
        </w:rPr>
      </w:pPr>
    </w:p>
    <w:p w14:paraId="1DD2159F" w14:textId="77777777" w:rsidR="00EA1A28" w:rsidRPr="00EA1A28" w:rsidRDefault="00EA1A28" w:rsidP="00EA1A28">
      <w:pPr>
        <w:spacing w:after="0"/>
        <w:jc w:val="both"/>
        <w:rPr>
          <w:rFonts w:ascii="Arial" w:hAnsi="Arial" w:cs="Arial"/>
        </w:rPr>
      </w:pPr>
    </w:p>
    <w:p w14:paraId="1F94343A" w14:textId="77777777" w:rsidR="00EA1A28" w:rsidRPr="00EA1A28" w:rsidRDefault="00EA1A28" w:rsidP="00EA1A28">
      <w:pPr>
        <w:spacing w:after="0"/>
        <w:jc w:val="both"/>
        <w:rPr>
          <w:rFonts w:ascii="Arial" w:hAnsi="Arial" w:cs="Arial"/>
        </w:rPr>
      </w:pPr>
    </w:p>
    <w:p w14:paraId="13A46925" w14:textId="77777777" w:rsidR="004F4570" w:rsidRPr="00EA1A28" w:rsidRDefault="00556AF9" w:rsidP="00EA1A28">
      <w:pPr>
        <w:spacing w:after="0"/>
        <w:jc w:val="both"/>
        <w:rPr>
          <w:rFonts w:ascii="Arial" w:hAnsi="Arial" w:cs="Arial"/>
          <w:b/>
        </w:rPr>
      </w:pPr>
      <w:r w:rsidRPr="00EA1A28">
        <w:rPr>
          <w:rFonts w:ascii="Arial" w:hAnsi="Arial" w:cs="Arial"/>
          <w:b/>
        </w:rPr>
        <w:t>W</w:t>
      </w:r>
      <w:r w:rsidR="009048D9" w:rsidRPr="00EA1A28">
        <w:rPr>
          <w:rFonts w:ascii="Arial" w:hAnsi="Arial" w:cs="Arial"/>
          <w:b/>
        </w:rPr>
        <w:t xml:space="preserve"> związku z powyższym, wnoszę o wszczęcie i przeprowadzenie w niniejszej sprawie postępowania przygotowawczego, a w szczególności o: </w:t>
      </w:r>
    </w:p>
    <w:p w14:paraId="25625C47" w14:textId="77777777" w:rsidR="00646C30" w:rsidRPr="00EA1A28" w:rsidRDefault="00646C30" w:rsidP="00EA1A28">
      <w:pPr>
        <w:spacing w:after="0"/>
        <w:jc w:val="both"/>
        <w:rPr>
          <w:rFonts w:ascii="Arial" w:hAnsi="Arial" w:cs="Arial"/>
        </w:rPr>
      </w:pPr>
    </w:p>
    <w:p w14:paraId="497ACD3C" w14:textId="1CE95619" w:rsidR="0038681A" w:rsidRPr="00EA1A28" w:rsidRDefault="00267EFF" w:rsidP="00EA1A28">
      <w:pPr>
        <w:pStyle w:val="Akapitzlist"/>
        <w:numPr>
          <w:ilvl w:val="0"/>
          <w:numId w:val="6"/>
        </w:numPr>
        <w:tabs>
          <w:tab w:val="num" w:pos="426"/>
        </w:tabs>
        <w:spacing w:after="120"/>
        <w:ind w:left="426" w:hanging="425"/>
        <w:jc w:val="both"/>
        <w:rPr>
          <w:rFonts w:ascii="Arial" w:hAnsi="Arial" w:cs="Arial"/>
        </w:rPr>
      </w:pPr>
      <w:r w:rsidRPr="00EA1A28">
        <w:rPr>
          <w:rFonts w:ascii="Arial" w:hAnsi="Arial" w:cs="Arial"/>
        </w:rPr>
        <w:t>p</w:t>
      </w:r>
      <w:r w:rsidR="00556AF9" w:rsidRPr="00EA1A28">
        <w:rPr>
          <w:rFonts w:ascii="Arial" w:hAnsi="Arial" w:cs="Arial"/>
        </w:rPr>
        <w:t>rzeprowadzenie czynności postępowania zmierzających do wykrycia i ukarania sprawców prze</w:t>
      </w:r>
      <w:r w:rsidR="0038681A" w:rsidRPr="00EA1A28">
        <w:rPr>
          <w:rFonts w:ascii="Arial" w:hAnsi="Arial" w:cs="Arial"/>
        </w:rPr>
        <w:t xml:space="preserve">stępstwa, w tym w szczególności </w:t>
      </w:r>
      <w:r w:rsidR="009048D9" w:rsidRPr="00EA1A28">
        <w:rPr>
          <w:rFonts w:ascii="Arial" w:hAnsi="Arial" w:cs="Arial"/>
        </w:rPr>
        <w:t>potwierdzenie</w:t>
      </w:r>
      <w:r w:rsidR="0038681A" w:rsidRPr="00EA1A28">
        <w:rPr>
          <w:rFonts w:ascii="Arial" w:hAnsi="Arial" w:cs="Arial"/>
        </w:rPr>
        <w:t xml:space="preserve"> daty, z której pochodzą nagrania z nasłuchu policyjnego załączone do niniejszego zawiadomienia, a także </w:t>
      </w:r>
      <w:r w:rsidR="0038681A" w:rsidRPr="00EA1A28">
        <w:rPr>
          <w:rFonts w:ascii="Arial" w:hAnsi="Arial" w:cs="Arial"/>
        </w:rPr>
        <w:lastRenderedPageBreak/>
        <w:t>ustalenie daty początkowej rozpoczęcia przez Policję obserwacji członków Fundacji „</w:t>
      </w:r>
      <w:r w:rsidR="006606B1">
        <w:rPr>
          <w:rFonts w:ascii="Arial" w:hAnsi="Arial" w:cs="Arial"/>
        </w:rPr>
        <w:t xml:space="preserve">Wolni </w:t>
      </w:r>
      <w:r w:rsidR="0038681A" w:rsidRPr="00EA1A28">
        <w:rPr>
          <w:rFonts w:ascii="Arial" w:hAnsi="Arial" w:cs="Arial"/>
        </w:rPr>
        <w:t>Obywatele RP”</w:t>
      </w:r>
      <w:r w:rsidR="006606B1">
        <w:rPr>
          <w:rFonts w:ascii="Arial" w:hAnsi="Arial" w:cs="Arial"/>
        </w:rPr>
        <w:t xml:space="preserve"> i Ruc</w:t>
      </w:r>
      <w:r w:rsidR="002C49BA">
        <w:rPr>
          <w:rFonts w:ascii="Arial" w:hAnsi="Arial" w:cs="Arial"/>
        </w:rPr>
        <w:t>hu Obywatele</w:t>
      </w:r>
      <w:r w:rsidR="006606B1">
        <w:rPr>
          <w:rFonts w:ascii="Arial" w:hAnsi="Arial" w:cs="Arial"/>
        </w:rPr>
        <w:t xml:space="preserve"> RP</w:t>
      </w:r>
      <w:r w:rsidR="0038681A" w:rsidRPr="00EA1A28">
        <w:rPr>
          <w:rFonts w:ascii="Arial" w:hAnsi="Arial" w:cs="Arial"/>
        </w:rPr>
        <w:t>;</w:t>
      </w:r>
    </w:p>
    <w:p w14:paraId="07204E8B" w14:textId="77777777" w:rsidR="0038681A" w:rsidRPr="00EA1A28" w:rsidRDefault="0038681A" w:rsidP="00EA1A28">
      <w:pPr>
        <w:pStyle w:val="Akapitzlist"/>
        <w:numPr>
          <w:ilvl w:val="0"/>
          <w:numId w:val="6"/>
        </w:numPr>
        <w:tabs>
          <w:tab w:val="num" w:pos="426"/>
        </w:tabs>
        <w:spacing w:after="120"/>
        <w:ind w:left="426" w:hanging="425"/>
        <w:jc w:val="both"/>
        <w:rPr>
          <w:rFonts w:ascii="Arial" w:hAnsi="Arial" w:cs="Arial"/>
        </w:rPr>
      </w:pPr>
      <w:r w:rsidRPr="00EA1A28">
        <w:rPr>
          <w:rFonts w:ascii="Arial" w:hAnsi="Arial" w:cs="Arial"/>
        </w:rPr>
        <w:t xml:space="preserve">czynności mające na celu ustalenie osób, które były zaangażowane w prowadzenie obserwacji, w tym osoby, która </w:t>
      </w:r>
      <w:r w:rsidR="009048D9" w:rsidRPr="00EA1A28">
        <w:rPr>
          <w:rFonts w:ascii="Arial" w:hAnsi="Arial" w:cs="Arial"/>
        </w:rPr>
        <w:t xml:space="preserve">nakazała </w:t>
      </w:r>
      <w:r w:rsidRPr="00EA1A28">
        <w:rPr>
          <w:rFonts w:ascii="Arial" w:hAnsi="Arial" w:cs="Arial"/>
        </w:rPr>
        <w:t xml:space="preserve">jej prowadzenia, </w:t>
      </w:r>
      <w:r w:rsidR="009048D9" w:rsidRPr="00EA1A28">
        <w:rPr>
          <w:rFonts w:ascii="Arial" w:hAnsi="Arial" w:cs="Arial"/>
        </w:rPr>
        <w:t xml:space="preserve">osób ją </w:t>
      </w:r>
      <w:r w:rsidRPr="00EA1A28">
        <w:rPr>
          <w:rFonts w:ascii="Arial" w:hAnsi="Arial" w:cs="Arial"/>
        </w:rPr>
        <w:t>nadzorujących oraz funkcjonariuszy zaangażowanych w jej prowadzenie, w tym w szczególności:</w:t>
      </w:r>
    </w:p>
    <w:p w14:paraId="7D71D281" w14:textId="77777777" w:rsidR="00A24A7A" w:rsidRPr="00EA1A28" w:rsidRDefault="00D95CD7" w:rsidP="00EA1A28">
      <w:pPr>
        <w:pStyle w:val="Akapitzlist"/>
        <w:numPr>
          <w:ilvl w:val="0"/>
          <w:numId w:val="16"/>
        </w:numPr>
        <w:tabs>
          <w:tab w:val="num" w:pos="426"/>
        </w:tabs>
        <w:spacing w:after="120"/>
        <w:jc w:val="both"/>
        <w:rPr>
          <w:rFonts w:ascii="Arial" w:hAnsi="Arial" w:cs="Arial"/>
        </w:rPr>
      </w:pPr>
      <w:r w:rsidRPr="00EA1A28">
        <w:rPr>
          <w:rFonts w:ascii="Arial" w:hAnsi="Arial" w:cs="Arial"/>
        </w:rPr>
        <w:t>ustalenie funkcjonariuszy</w:t>
      </w:r>
      <w:r w:rsidR="00544433" w:rsidRPr="00EA1A28">
        <w:rPr>
          <w:rFonts w:ascii="Arial" w:hAnsi="Arial" w:cs="Arial"/>
        </w:rPr>
        <w:t xml:space="preserve"> Policji</w:t>
      </w:r>
      <w:r w:rsidRPr="00EA1A28">
        <w:rPr>
          <w:rFonts w:ascii="Arial" w:hAnsi="Arial" w:cs="Arial"/>
        </w:rPr>
        <w:t xml:space="preserve">, których wypowiedzi utrwalone zostały na nagraniach załączonych do niniejszego </w:t>
      </w:r>
      <w:r w:rsidR="0038681A" w:rsidRPr="00EA1A28">
        <w:rPr>
          <w:rFonts w:ascii="Arial" w:hAnsi="Arial" w:cs="Arial"/>
        </w:rPr>
        <w:t>zawiadomienia</w:t>
      </w:r>
      <w:r w:rsidRPr="00EA1A28">
        <w:rPr>
          <w:rFonts w:ascii="Arial" w:hAnsi="Arial" w:cs="Arial"/>
        </w:rPr>
        <w:t>,</w:t>
      </w:r>
      <w:r w:rsidR="00544433" w:rsidRPr="00EA1A28">
        <w:rPr>
          <w:rFonts w:ascii="Arial" w:hAnsi="Arial" w:cs="Arial"/>
        </w:rPr>
        <w:t xml:space="preserve"> a także funkcjonariuszy pełniących służ</w:t>
      </w:r>
      <w:r w:rsidR="0088105A" w:rsidRPr="00EA1A28">
        <w:rPr>
          <w:rFonts w:ascii="Arial" w:hAnsi="Arial" w:cs="Arial"/>
        </w:rPr>
        <w:t>b</w:t>
      </w:r>
      <w:r w:rsidR="00544433" w:rsidRPr="00EA1A28">
        <w:rPr>
          <w:rFonts w:ascii="Arial" w:hAnsi="Arial" w:cs="Arial"/>
        </w:rPr>
        <w:t>ę w dniu (dniach), z których wskazane nagrania pochodzą i przyporządkowanie utrwalonym wypowiedziom i używanym pseudonimom odpowiednich danych funkcjonariuszy ;</w:t>
      </w:r>
    </w:p>
    <w:p w14:paraId="12A59EEB" w14:textId="77777777" w:rsidR="0038681A" w:rsidRPr="00EA1A28" w:rsidRDefault="006C35B1" w:rsidP="00EA1A28">
      <w:pPr>
        <w:pStyle w:val="Akapitzlist"/>
        <w:numPr>
          <w:ilvl w:val="0"/>
          <w:numId w:val="16"/>
        </w:numPr>
        <w:tabs>
          <w:tab w:val="num" w:pos="426"/>
        </w:tabs>
        <w:spacing w:after="120"/>
        <w:jc w:val="both"/>
        <w:rPr>
          <w:rFonts w:ascii="Arial" w:hAnsi="Arial" w:cs="Arial"/>
        </w:rPr>
      </w:pPr>
      <w:r w:rsidRPr="00EA1A28">
        <w:rPr>
          <w:rFonts w:ascii="Arial" w:hAnsi="Arial" w:cs="Arial"/>
        </w:rPr>
        <w:t>ustalenie, do jakich zwierzchników zwracali się o wytyczne utrwaleni na nagraniach funkcjonariusze Policji;</w:t>
      </w:r>
    </w:p>
    <w:p w14:paraId="76CE612E" w14:textId="6E6C0CE1" w:rsidR="001514A3" w:rsidRPr="00EA1A28" w:rsidRDefault="00C1446B" w:rsidP="00EA1A28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</w:rPr>
      </w:pPr>
      <w:r w:rsidRPr="00EA1A28">
        <w:rPr>
          <w:rFonts w:ascii="Arial" w:hAnsi="Arial" w:cs="Arial"/>
        </w:rPr>
        <w:t>zobowiązanie odpowiedniej jedno</w:t>
      </w:r>
      <w:r w:rsidR="006C35B1" w:rsidRPr="00EA1A28">
        <w:rPr>
          <w:rFonts w:ascii="Arial" w:hAnsi="Arial" w:cs="Arial"/>
        </w:rPr>
        <w:t>stki P</w:t>
      </w:r>
      <w:r w:rsidRPr="00EA1A28">
        <w:rPr>
          <w:rFonts w:ascii="Arial" w:hAnsi="Arial" w:cs="Arial"/>
        </w:rPr>
        <w:t xml:space="preserve">olicji do udostępnienia wszelkich nagrań </w:t>
      </w:r>
      <w:r w:rsidR="00A24A7A" w:rsidRPr="00EA1A28">
        <w:rPr>
          <w:rFonts w:ascii="Arial" w:hAnsi="Arial" w:cs="Arial"/>
        </w:rPr>
        <w:t xml:space="preserve">z nasłuchu policyjnego, związanych z obserwacją </w:t>
      </w:r>
      <w:r w:rsidR="001514A3" w:rsidRPr="00EA1A28">
        <w:rPr>
          <w:rFonts w:ascii="Arial" w:hAnsi="Arial" w:cs="Arial"/>
        </w:rPr>
        <w:t xml:space="preserve">członków </w:t>
      </w:r>
      <w:r w:rsidR="00410C03">
        <w:rPr>
          <w:rFonts w:ascii="Arial" w:hAnsi="Arial" w:cs="Arial"/>
        </w:rPr>
        <w:t xml:space="preserve">Fundacji </w:t>
      </w:r>
      <w:r w:rsidR="001514A3" w:rsidRPr="00EA1A28">
        <w:rPr>
          <w:rFonts w:ascii="Arial" w:hAnsi="Arial" w:cs="Arial"/>
        </w:rPr>
        <w:t>„</w:t>
      </w:r>
      <w:r w:rsidR="006606B1">
        <w:rPr>
          <w:rFonts w:ascii="Arial" w:hAnsi="Arial" w:cs="Arial"/>
        </w:rPr>
        <w:t xml:space="preserve">Wolni </w:t>
      </w:r>
      <w:r w:rsidR="001514A3" w:rsidRPr="00EA1A28">
        <w:rPr>
          <w:rFonts w:ascii="Arial" w:hAnsi="Arial" w:cs="Arial"/>
        </w:rPr>
        <w:t>Obywatele RP”</w:t>
      </w:r>
      <w:r w:rsidR="002C49BA">
        <w:rPr>
          <w:rFonts w:ascii="Arial" w:hAnsi="Arial" w:cs="Arial"/>
        </w:rPr>
        <w:t xml:space="preserve"> i Ruchu Obywatele</w:t>
      </w:r>
      <w:r w:rsidR="006606B1">
        <w:rPr>
          <w:rFonts w:ascii="Arial" w:hAnsi="Arial" w:cs="Arial"/>
        </w:rPr>
        <w:t xml:space="preserve"> RP (w tym w szczególności w stosunku do osób wskazanych na wstępie niniejszego zawiadomienia);</w:t>
      </w:r>
    </w:p>
    <w:p w14:paraId="66730A4F" w14:textId="77777777" w:rsidR="00C50A8B" w:rsidRDefault="00AF3231" w:rsidP="00EA1A28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</w:rPr>
      </w:pPr>
      <w:r w:rsidRPr="00C50A8B">
        <w:rPr>
          <w:rFonts w:ascii="Arial" w:hAnsi="Arial" w:cs="Arial"/>
        </w:rPr>
        <w:t xml:space="preserve">zabezpieczenie monitoringu </w:t>
      </w:r>
      <w:r w:rsidR="00C50A8B" w:rsidRPr="00C50A8B">
        <w:rPr>
          <w:rFonts w:ascii="Arial" w:hAnsi="Arial" w:cs="Arial"/>
        </w:rPr>
        <w:t xml:space="preserve"> w miejscach oraz z dat,</w:t>
      </w:r>
      <w:r w:rsidRPr="00C50A8B">
        <w:rPr>
          <w:rFonts w:ascii="Arial" w:hAnsi="Arial" w:cs="Arial"/>
        </w:rPr>
        <w:t xml:space="preserve"> w których prowadzona była obserwacja </w:t>
      </w:r>
      <w:r w:rsidR="006606B1">
        <w:rPr>
          <w:rFonts w:ascii="Arial" w:hAnsi="Arial" w:cs="Arial"/>
        </w:rPr>
        <w:t>tych osób</w:t>
      </w:r>
      <w:r w:rsidR="001514A3" w:rsidRPr="00C50A8B">
        <w:rPr>
          <w:rFonts w:ascii="Arial" w:hAnsi="Arial" w:cs="Arial"/>
        </w:rPr>
        <w:t xml:space="preserve"> </w:t>
      </w:r>
      <w:r w:rsidR="00C50A8B">
        <w:rPr>
          <w:rFonts w:ascii="Arial" w:hAnsi="Arial" w:cs="Arial"/>
        </w:rPr>
        <w:t>;</w:t>
      </w:r>
    </w:p>
    <w:p w14:paraId="665F686A" w14:textId="77777777" w:rsidR="00556AF9" w:rsidRPr="00C50A8B" w:rsidRDefault="00AB50C5" w:rsidP="00EA1A28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</w:rPr>
      </w:pPr>
      <w:r w:rsidRPr="00C50A8B">
        <w:rPr>
          <w:rFonts w:ascii="Arial" w:hAnsi="Arial" w:cs="Arial"/>
        </w:rPr>
        <w:t>przesłuchanie wszystkich funkcjonariuszy Policji, biorących udział w obserwacji, w celu ustalenia jej szczegółów</w:t>
      </w:r>
      <w:r w:rsidR="00410C03" w:rsidRPr="00C50A8B">
        <w:rPr>
          <w:rFonts w:ascii="Arial" w:hAnsi="Arial" w:cs="Arial"/>
        </w:rPr>
        <w:t xml:space="preserve">, </w:t>
      </w:r>
      <w:r w:rsidR="001E0D9D" w:rsidRPr="00C50A8B">
        <w:rPr>
          <w:rFonts w:ascii="Arial" w:hAnsi="Arial" w:cs="Arial"/>
        </w:rPr>
        <w:t xml:space="preserve">a także </w:t>
      </w:r>
      <w:r w:rsidRPr="00C50A8B">
        <w:rPr>
          <w:rFonts w:ascii="Arial" w:hAnsi="Arial" w:cs="Arial"/>
        </w:rPr>
        <w:t xml:space="preserve">osób </w:t>
      </w:r>
      <w:r w:rsidR="00410C03" w:rsidRPr="00C50A8B">
        <w:rPr>
          <w:rFonts w:ascii="Arial" w:hAnsi="Arial" w:cs="Arial"/>
        </w:rPr>
        <w:t xml:space="preserve">bezpośrednio </w:t>
      </w:r>
      <w:r w:rsidRPr="00C50A8B">
        <w:rPr>
          <w:rFonts w:ascii="Arial" w:hAnsi="Arial" w:cs="Arial"/>
        </w:rPr>
        <w:t>nadzorujących obserwację</w:t>
      </w:r>
      <w:r w:rsidR="00267EFF" w:rsidRPr="00C50A8B">
        <w:rPr>
          <w:rFonts w:ascii="Arial" w:hAnsi="Arial" w:cs="Arial"/>
        </w:rPr>
        <w:t>;</w:t>
      </w:r>
    </w:p>
    <w:p w14:paraId="7535A40A" w14:textId="77777777" w:rsidR="00646C30" w:rsidRPr="00EA1A28" w:rsidRDefault="00561DF0" w:rsidP="00EA1A28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</w:rPr>
      </w:pPr>
      <w:r w:rsidRPr="00EA1A28">
        <w:rPr>
          <w:rFonts w:ascii="Arial" w:hAnsi="Arial" w:cs="Arial"/>
        </w:rPr>
        <w:t>przeprowadzenie dowodu z załączonych do niniejszego pisma dokumentów, na okolicznoś</w:t>
      </w:r>
      <w:r w:rsidR="001E0D9D" w:rsidRPr="00EA1A28">
        <w:rPr>
          <w:rFonts w:ascii="Arial" w:hAnsi="Arial" w:cs="Arial"/>
        </w:rPr>
        <w:t>ci powołane w jego uzasadnieniu;</w:t>
      </w:r>
    </w:p>
    <w:p w14:paraId="25E3054D" w14:textId="77777777" w:rsidR="004F4570" w:rsidRPr="00EA1A28" w:rsidRDefault="00561DF0" w:rsidP="00EA1A28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</w:rPr>
      </w:pPr>
      <w:r w:rsidRPr="00EA1A28">
        <w:rPr>
          <w:rFonts w:ascii="Arial" w:hAnsi="Arial" w:cs="Arial"/>
        </w:rPr>
        <w:t xml:space="preserve">przesłuchanie </w:t>
      </w:r>
      <w:r w:rsidR="006606B1">
        <w:rPr>
          <w:rFonts w:ascii="Arial" w:hAnsi="Arial" w:cs="Arial"/>
        </w:rPr>
        <w:t>Pana Wojciecha Kinasiewicza i Pana Tadeusza Jakrzewskiego</w:t>
      </w:r>
      <w:r w:rsidR="001514A3" w:rsidRPr="00EA1A28">
        <w:rPr>
          <w:rFonts w:ascii="Arial" w:hAnsi="Arial" w:cs="Arial"/>
        </w:rPr>
        <w:t xml:space="preserve"> </w:t>
      </w:r>
      <w:r w:rsidR="006606B1">
        <w:rPr>
          <w:rFonts w:ascii="Arial" w:hAnsi="Arial" w:cs="Arial"/>
        </w:rPr>
        <w:t>w charakterze świadków jako zawiadamiających</w:t>
      </w:r>
      <w:r w:rsidRPr="00EA1A28">
        <w:rPr>
          <w:rFonts w:ascii="Arial" w:hAnsi="Arial" w:cs="Arial"/>
        </w:rPr>
        <w:t xml:space="preserve"> o możliwości popełnienia przestępstwa (wezwanie proszę kierować na adres </w:t>
      </w:r>
      <w:r w:rsidR="001514A3" w:rsidRPr="00EA1A28">
        <w:rPr>
          <w:rFonts w:ascii="Arial" w:hAnsi="Arial" w:cs="Arial"/>
        </w:rPr>
        <w:t>siedziby Fundacji</w:t>
      </w:r>
      <w:r w:rsidR="001E0D9D" w:rsidRPr="00EA1A28">
        <w:rPr>
          <w:rFonts w:ascii="Arial" w:hAnsi="Arial" w:cs="Arial"/>
        </w:rPr>
        <w:t>)</w:t>
      </w:r>
      <w:r w:rsidR="003B355C" w:rsidRPr="00EA1A28">
        <w:rPr>
          <w:rFonts w:ascii="Arial" w:hAnsi="Arial" w:cs="Arial"/>
        </w:rPr>
        <w:t>;</w:t>
      </w:r>
    </w:p>
    <w:p w14:paraId="114F2395" w14:textId="77777777" w:rsidR="00646C30" w:rsidRPr="00EA1A28" w:rsidRDefault="00646C30" w:rsidP="00EA1A28">
      <w:pPr>
        <w:spacing w:after="0"/>
        <w:jc w:val="center"/>
        <w:rPr>
          <w:rFonts w:ascii="Arial" w:hAnsi="Arial" w:cs="Arial"/>
          <w:b/>
        </w:rPr>
      </w:pPr>
    </w:p>
    <w:p w14:paraId="2414BEFB" w14:textId="77777777" w:rsidR="00EF74A9" w:rsidRPr="00EA1A28" w:rsidRDefault="00EF74A9" w:rsidP="00EA1A28">
      <w:pPr>
        <w:spacing w:after="0"/>
        <w:jc w:val="center"/>
        <w:rPr>
          <w:rFonts w:ascii="Arial" w:hAnsi="Arial" w:cs="Arial"/>
          <w:b/>
        </w:rPr>
      </w:pPr>
    </w:p>
    <w:p w14:paraId="4AEF7155" w14:textId="77777777" w:rsidR="004F4570" w:rsidRDefault="00561DF0" w:rsidP="00EA1A28">
      <w:pPr>
        <w:tabs>
          <w:tab w:val="left" w:pos="1276"/>
        </w:tabs>
        <w:spacing w:after="0"/>
        <w:jc w:val="center"/>
        <w:rPr>
          <w:rFonts w:ascii="Arial" w:hAnsi="Arial" w:cs="Arial"/>
          <w:b/>
        </w:rPr>
      </w:pPr>
      <w:r w:rsidRPr="00EA1A28">
        <w:rPr>
          <w:rFonts w:ascii="Arial" w:hAnsi="Arial" w:cs="Arial"/>
          <w:b/>
        </w:rPr>
        <w:t>UZASADNIENIE</w:t>
      </w:r>
      <w:r w:rsidR="002216A2" w:rsidRPr="00EA1A28">
        <w:rPr>
          <w:rFonts w:ascii="Arial" w:hAnsi="Arial" w:cs="Arial"/>
          <w:b/>
        </w:rPr>
        <w:t xml:space="preserve"> </w:t>
      </w:r>
    </w:p>
    <w:p w14:paraId="5EDBB506" w14:textId="77777777" w:rsidR="00EA1A28" w:rsidRPr="00EA1A28" w:rsidRDefault="00EA1A28" w:rsidP="00EA1A28">
      <w:pPr>
        <w:tabs>
          <w:tab w:val="left" w:pos="1276"/>
        </w:tabs>
        <w:spacing w:after="0"/>
        <w:jc w:val="center"/>
        <w:rPr>
          <w:rFonts w:ascii="Arial" w:hAnsi="Arial" w:cs="Arial"/>
          <w:b/>
        </w:rPr>
      </w:pPr>
    </w:p>
    <w:p w14:paraId="2DBC9DA5" w14:textId="77777777" w:rsidR="00646C30" w:rsidRPr="00EA1A28" w:rsidRDefault="00646C30" w:rsidP="00EA1A28">
      <w:pPr>
        <w:spacing w:after="0"/>
        <w:jc w:val="center"/>
        <w:rPr>
          <w:rFonts w:ascii="Arial" w:eastAsia="Trebuchet MS Bold" w:hAnsi="Arial" w:cs="Arial"/>
          <w:b/>
        </w:rPr>
      </w:pPr>
    </w:p>
    <w:p w14:paraId="37F87D16" w14:textId="77777777" w:rsidR="00AC0E4C" w:rsidRDefault="001E0D9D" w:rsidP="00EA1A28">
      <w:pPr>
        <w:spacing w:after="0"/>
        <w:jc w:val="both"/>
        <w:rPr>
          <w:rFonts w:ascii="Arial" w:hAnsi="Arial" w:cs="Arial"/>
        </w:rPr>
      </w:pPr>
      <w:r w:rsidRPr="00EA1A28">
        <w:rPr>
          <w:rFonts w:ascii="Arial" w:hAnsi="Arial" w:cs="Arial"/>
        </w:rPr>
        <w:t xml:space="preserve">26 lipca 2017 roku </w:t>
      </w:r>
      <w:r w:rsidR="006606B1">
        <w:rPr>
          <w:rFonts w:ascii="Arial" w:hAnsi="Arial" w:cs="Arial"/>
        </w:rPr>
        <w:t>Pan Tadeusz Jakrzewski i Pan Wojciech Kinasiewicz</w:t>
      </w:r>
      <w:r w:rsidR="001514A3" w:rsidRPr="00EA1A28">
        <w:rPr>
          <w:rFonts w:ascii="Arial" w:hAnsi="Arial" w:cs="Arial"/>
        </w:rPr>
        <w:t xml:space="preserve"> </w:t>
      </w:r>
      <w:r w:rsidR="00EA1A28">
        <w:rPr>
          <w:rFonts w:ascii="Arial" w:hAnsi="Arial" w:cs="Arial"/>
        </w:rPr>
        <w:t>dowiedzieli</w:t>
      </w:r>
      <w:r w:rsidR="00C50A8B">
        <w:rPr>
          <w:rFonts w:ascii="Arial" w:hAnsi="Arial" w:cs="Arial"/>
        </w:rPr>
        <w:t xml:space="preserve"> się</w:t>
      </w:r>
      <w:r w:rsidR="006606B1">
        <w:rPr>
          <w:rFonts w:ascii="Arial" w:hAnsi="Arial" w:cs="Arial"/>
        </w:rPr>
        <w:t>, między innymi z prasy, o tym</w:t>
      </w:r>
      <w:r w:rsidR="000B6464">
        <w:rPr>
          <w:rFonts w:ascii="Arial" w:hAnsi="Arial" w:cs="Arial"/>
        </w:rPr>
        <w:t xml:space="preserve">, </w:t>
      </w:r>
      <w:r w:rsidRPr="00EA1A28">
        <w:rPr>
          <w:rFonts w:ascii="Arial" w:hAnsi="Arial" w:cs="Arial"/>
        </w:rPr>
        <w:t xml:space="preserve">iż </w:t>
      </w:r>
      <w:r w:rsidR="001514A3" w:rsidRPr="00EA1A28">
        <w:rPr>
          <w:rFonts w:ascii="Arial" w:hAnsi="Arial" w:cs="Arial"/>
        </w:rPr>
        <w:t xml:space="preserve">w trakcie ostatnich </w:t>
      </w:r>
      <w:r w:rsidR="00AC0E4C" w:rsidRPr="00EA1A28">
        <w:rPr>
          <w:rFonts w:ascii="Arial" w:hAnsi="Arial" w:cs="Arial"/>
        </w:rPr>
        <w:t>protestów</w:t>
      </w:r>
      <w:r w:rsidR="001514A3" w:rsidRPr="00EA1A28">
        <w:rPr>
          <w:rFonts w:ascii="Arial" w:hAnsi="Arial" w:cs="Arial"/>
        </w:rPr>
        <w:t xml:space="preserve"> społecznych związanych z wprowadz</w:t>
      </w:r>
      <w:r w:rsidR="004E533F" w:rsidRPr="00EA1A28">
        <w:rPr>
          <w:rFonts w:ascii="Arial" w:hAnsi="Arial" w:cs="Arial"/>
        </w:rPr>
        <w:t>a</w:t>
      </w:r>
      <w:r w:rsidR="001514A3" w:rsidRPr="00EA1A28">
        <w:rPr>
          <w:rFonts w:ascii="Arial" w:hAnsi="Arial" w:cs="Arial"/>
        </w:rPr>
        <w:t>niem przez rząd i większość parlament</w:t>
      </w:r>
      <w:r w:rsidR="00AC0E4C" w:rsidRPr="00EA1A28">
        <w:rPr>
          <w:rFonts w:ascii="Arial" w:hAnsi="Arial" w:cs="Arial"/>
        </w:rPr>
        <w:t xml:space="preserve">arną ustawy o Sądzie Najwyższym, a także podpisaniem trzech ustaw regulujących </w:t>
      </w:r>
      <w:r w:rsidR="00967941" w:rsidRPr="00EA1A28">
        <w:rPr>
          <w:rFonts w:ascii="Arial" w:hAnsi="Arial" w:cs="Arial"/>
        </w:rPr>
        <w:t>funkcjonowanie sądownictwa</w:t>
      </w:r>
      <w:r w:rsidR="00AC0E4C" w:rsidRPr="00EA1A28">
        <w:rPr>
          <w:rFonts w:ascii="Arial" w:hAnsi="Arial" w:cs="Arial"/>
        </w:rPr>
        <w:t xml:space="preserve"> w Polsce przez Prezydenta RP, </w:t>
      </w:r>
      <w:r w:rsidR="00EA1A28">
        <w:rPr>
          <w:rFonts w:ascii="Arial" w:hAnsi="Arial" w:cs="Arial"/>
        </w:rPr>
        <w:t>byli</w:t>
      </w:r>
      <w:r w:rsidR="00AC0E4C" w:rsidRPr="00EA1A28">
        <w:rPr>
          <w:rFonts w:ascii="Arial" w:hAnsi="Arial" w:cs="Arial"/>
        </w:rPr>
        <w:t xml:space="preserve"> </w:t>
      </w:r>
      <w:r w:rsidR="00967941" w:rsidRPr="00EA1A28">
        <w:rPr>
          <w:rFonts w:ascii="Arial" w:hAnsi="Arial" w:cs="Arial"/>
        </w:rPr>
        <w:t xml:space="preserve">co najmniej </w:t>
      </w:r>
      <w:r w:rsidR="006606B1" w:rsidRPr="00EA1A28">
        <w:rPr>
          <w:rFonts w:ascii="Arial" w:hAnsi="Arial" w:cs="Arial"/>
        </w:rPr>
        <w:t xml:space="preserve">od </w:t>
      </w:r>
      <w:r w:rsidR="00967941" w:rsidRPr="00EA1A28">
        <w:rPr>
          <w:rFonts w:ascii="Arial" w:hAnsi="Arial" w:cs="Arial"/>
        </w:rPr>
        <w:t xml:space="preserve">21 czerwca 2017 roku </w:t>
      </w:r>
      <w:r w:rsidR="00EA1A28">
        <w:rPr>
          <w:rFonts w:ascii="Arial" w:hAnsi="Arial" w:cs="Arial"/>
        </w:rPr>
        <w:t>obserwowani przez Policję. Przeprowadzone</w:t>
      </w:r>
      <w:r w:rsidR="006F36F8">
        <w:rPr>
          <w:rFonts w:ascii="Arial" w:hAnsi="Arial" w:cs="Arial"/>
        </w:rPr>
        <w:t xml:space="preserve"> przez </w:t>
      </w:r>
      <w:r w:rsidR="008C4F8E">
        <w:rPr>
          <w:rFonts w:ascii="Arial" w:hAnsi="Arial" w:cs="Arial"/>
        </w:rPr>
        <w:t xml:space="preserve">funkcjonariuszy </w:t>
      </w:r>
      <w:r w:rsidR="00EA1A28">
        <w:rPr>
          <w:rFonts w:ascii="Arial" w:hAnsi="Arial" w:cs="Arial"/>
        </w:rPr>
        <w:t>postępowanie</w:t>
      </w:r>
      <w:r w:rsidR="008C4F8E">
        <w:rPr>
          <w:rFonts w:ascii="Arial" w:hAnsi="Arial" w:cs="Arial"/>
        </w:rPr>
        <w:t>,</w:t>
      </w:r>
      <w:r w:rsidR="00EA1A28">
        <w:rPr>
          <w:rFonts w:ascii="Arial" w:hAnsi="Arial" w:cs="Arial"/>
        </w:rPr>
        <w:t xml:space="preserve"> </w:t>
      </w:r>
      <w:r w:rsidR="00967941" w:rsidRPr="00EA1A28">
        <w:rPr>
          <w:rFonts w:ascii="Arial" w:hAnsi="Arial" w:cs="Arial"/>
        </w:rPr>
        <w:t xml:space="preserve">mające na celu weryfikację czynności </w:t>
      </w:r>
      <w:r w:rsidR="006606B1" w:rsidRPr="00EA1A28">
        <w:rPr>
          <w:rFonts w:ascii="Arial" w:hAnsi="Arial" w:cs="Arial"/>
        </w:rPr>
        <w:t xml:space="preserve">podejmowanych </w:t>
      </w:r>
      <w:r w:rsidR="00967941" w:rsidRPr="00EA1A28">
        <w:rPr>
          <w:rFonts w:ascii="Arial" w:hAnsi="Arial" w:cs="Arial"/>
        </w:rPr>
        <w:t xml:space="preserve">przez </w:t>
      </w:r>
      <w:r w:rsidR="006606B1">
        <w:rPr>
          <w:rFonts w:ascii="Arial" w:hAnsi="Arial" w:cs="Arial"/>
        </w:rPr>
        <w:t>te osoby</w:t>
      </w:r>
      <w:r w:rsidR="00967941" w:rsidRPr="00EA1A28">
        <w:rPr>
          <w:rFonts w:ascii="Arial" w:hAnsi="Arial" w:cs="Arial"/>
        </w:rPr>
        <w:t xml:space="preserve"> nie </w:t>
      </w:r>
      <w:r w:rsidR="006606B1">
        <w:rPr>
          <w:rFonts w:ascii="Arial" w:hAnsi="Arial" w:cs="Arial"/>
        </w:rPr>
        <w:t>było</w:t>
      </w:r>
      <w:r w:rsidR="00967941" w:rsidRPr="00EA1A28">
        <w:rPr>
          <w:rFonts w:ascii="Arial" w:hAnsi="Arial" w:cs="Arial"/>
        </w:rPr>
        <w:t xml:space="preserve"> uzasadnione w żadnej mierze ich rzekomo niez</w:t>
      </w:r>
      <w:r w:rsidR="006606B1">
        <w:rPr>
          <w:rFonts w:ascii="Arial" w:hAnsi="Arial" w:cs="Arial"/>
        </w:rPr>
        <w:t>godnym z prawem postępowaniem – z</w:t>
      </w:r>
      <w:r w:rsidR="00967941" w:rsidRPr="00EA1A28">
        <w:rPr>
          <w:rFonts w:ascii="Arial" w:hAnsi="Arial" w:cs="Arial"/>
        </w:rPr>
        <w:t xml:space="preserve"> ujawnionych nagrań wynika, iż nie dopuścili się </w:t>
      </w:r>
      <w:r w:rsidR="006606B1">
        <w:rPr>
          <w:rFonts w:ascii="Arial" w:hAnsi="Arial" w:cs="Arial"/>
        </w:rPr>
        <w:t xml:space="preserve">oni </w:t>
      </w:r>
      <w:r w:rsidR="00967941" w:rsidRPr="00EA1A28">
        <w:rPr>
          <w:rFonts w:ascii="Arial" w:hAnsi="Arial" w:cs="Arial"/>
        </w:rPr>
        <w:t>żadnych przewinień, a ich dzia</w:t>
      </w:r>
      <w:r w:rsidR="009748A8" w:rsidRPr="00EA1A28">
        <w:rPr>
          <w:rFonts w:ascii="Arial" w:hAnsi="Arial" w:cs="Arial"/>
        </w:rPr>
        <w:t xml:space="preserve">łalność pozostawała w związku z przewidzianymi </w:t>
      </w:r>
      <w:r w:rsidR="00967941" w:rsidRPr="00EA1A28">
        <w:rPr>
          <w:rFonts w:ascii="Arial" w:hAnsi="Arial" w:cs="Arial"/>
        </w:rPr>
        <w:t xml:space="preserve"> statut</w:t>
      </w:r>
      <w:r w:rsidR="009748A8" w:rsidRPr="00EA1A28">
        <w:rPr>
          <w:rFonts w:ascii="Arial" w:hAnsi="Arial" w:cs="Arial"/>
        </w:rPr>
        <w:t xml:space="preserve">em </w:t>
      </w:r>
      <w:r w:rsidR="00967941" w:rsidRPr="00EA1A28">
        <w:rPr>
          <w:rFonts w:ascii="Arial" w:hAnsi="Arial" w:cs="Arial"/>
        </w:rPr>
        <w:t>Fundacji</w:t>
      </w:r>
      <w:r w:rsidR="00472E83">
        <w:rPr>
          <w:rFonts w:ascii="Arial" w:hAnsi="Arial" w:cs="Arial"/>
        </w:rPr>
        <w:t xml:space="preserve"> oraz zasadami działania przewidzianymi dla</w:t>
      </w:r>
      <w:r w:rsidR="006606B1">
        <w:rPr>
          <w:rFonts w:ascii="Arial" w:hAnsi="Arial" w:cs="Arial"/>
        </w:rPr>
        <w:t xml:space="preserve"> Ru</w:t>
      </w:r>
      <w:r w:rsidR="00472E83">
        <w:rPr>
          <w:rFonts w:ascii="Arial" w:hAnsi="Arial" w:cs="Arial"/>
        </w:rPr>
        <w:t>chu Obywatele RP</w:t>
      </w:r>
      <w:r w:rsidR="00967941" w:rsidRPr="00EA1A28">
        <w:rPr>
          <w:rFonts w:ascii="Arial" w:hAnsi="Arial" w:cs="Arial"/>
        </w:rPr>
        <w:t xml:space="preserve">. </w:t>
      </w:r>
    </w:p>
    <w:p w14:paraId="52E38D08" w14:textId="77777777" w:rsidR="000F04FB" w:rsidRDefault="000F04FB" w:rsidP="000F04FB">
      <w:pPr>
        <w:spacing w:after="0"/>
        <w:jc w:val="both"/>
        <w:rPr>
          <w:rFonts w:ascii="Arial" w:hAnsi="Arial" w:cs="Arial"/>
        </w:rPr>
      </w:pPr>
    </w:p>
    <w:p w14:paraId="7EA65627" w14:textId="77777777" w:rsidR="00CA424B" w:rsidRPr="00EA1A28" w:rsidRDefault="00CA424B" w:rsidP="00CA424B">
      <w:pPr>
        <w:spacing w:after="0"/>
        <w:jc w:val="both"/>
        <w:rPr>
          <w:rFonts w:ascii="Arial" w:hAnsi="Arial" w:cs="Arial"/>
          <w:b/>
          <w:i/>
        </w:rPr>
      </w:pPr>
      <w:r w:rsidRPr="00EA1A28">
        <w:rPr>
          <w:rFonts w:ascii="Arial" w:hAnsi="Arial" w:cs="Arial"/>
          <w:b/>
          <w:i/>
          <w:u w:val="single"/>
        </w:rPr>
        <w:t>Dowód:</w:t>
      </w:r>
      <w:r w:rsidRPr="00EA1A28">
        <w:rPr>
          <w:rFonts w:ascii="Arial" w:hAnsi="Arial" w:cs="Arial"/>
          <w:b/>
          <w:i/>
        </w:rPr>
        <w:tab/>
      </w:r>
    </w:p>
    <w:p w14:paraId="4E4405BC" w14:textId="77777777" w:rsidR="00CA424B" w:rsidRDefault="00CA424B" w:rsidP="00CA424B">
      <w:pPr>
        <w:spacing w:after="0"/>
        <w:jc w:val="both"/>
        <w:rPr>
          <w:rFonts w:ascii="Arial" w:hAnsi="Arial" w:cs="Arial"/>
          <w:b/>
        </w:rPr>
      </w:pPr>
    </w:p>
    <w:p w14:paraId="229CE8F9" w14:textId="77777777" w:rsidR="00EA1A28" w:rsidRDefault="00CA424B" w:rsidP="00EA1A28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nagranie z nasłuchu policyjnego</w:t>
      </w:r>
    </w:p>
    <w:p w14:paraId="78A24C9B" w14:textId="77777777" w:rsidR="000B6464" w:rsidRPr="00CA424B" w:rsidRDefault="000B6464" w:rsidP="00EA1A28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egzemplarz dziennika „Gazeta wyborcza” z dnia 27 lipca 2017 roku</w:t>
      </w:r>
    </w:p>
    <w:p w14:paraId="0561C056" w14:textId="77777777" w:rsidR="000F04FB" w:rsidRPr="00EA1A28" w:rsidRDefault="000F04FB" w:rsidP="00EA1A28">
      <w:pPr>
        <w:spacing w:after="0"/>
        <w:jc w:val="both"/>
        <w:rPr>
          <w:rFonts w:ascii="Arial" w:hAnsi="Arial" w:cs="Arial"/>
          <w:b/>
          <w:bCs/>
        </w:rPr>
      </w:pPr>
    </w:p>
    <w:p w14:paraId="121C579F" w14:textId="77777777" w:rsidR="007A3E9C" w:rsidRPr="00EA1A28" w:rsidRDefault="006F36F8" w:rsidP="007A3E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Sąd Najwyższy w wyroku z dnia 5 lutego 2008 roku, </w:t>
      </w:r>
      <w:r w:rsidRPr="00EA1A28">
        <w:rPr>
          <w:rFonts w:ascii="Arial" w:hAnsi="Arial" w:cs="Arial"/>
        </w:rPr>
        <w:t>sygn. akt</w:t>
      </w:r>
      <w:r w:rsidR="008B5DAE">
        <w:rPr>
          <w:rFonts w:ascii="Arial" w:hAnsi="Arial" w:cs="Arial"/>
        </w:rPr>
        <w:t xml:space="preserve"> </w:t>
      </w:r>
      <w:hyperlink r:id="rId8" w:history="1">
        <w:r w:rsidR="008B5DAE" w:rsidRPr="008C0997">
          <w:rPr>
            <w:rStyle w:val="Hipercze"/>
            <w:rFonts w:asciiTheme="minorHAnsi" w:hAnsiTheme="minorHAnsi"/>
            <w:u w:val="none"/>
          </w:rPr>
          <w:t>WA 58/07</w:t>
        </w:r>
      </w:hyperlink>
      <w:r w:rsidRPr="00EA1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stwierdził, </w:t>
      </w:r>
      <w:r w:rsidR="00E468DE" w:rsidRPr="00EA1A28">
        <w:rPr>
          <w:rFonts w:ascii="Arial" w:hAnsi="Arial" w:cs="Arial"/>
          <w:bCs/>
        </w:rPr>
        <w:t xml:space="preserve">że </w:t>
      </w:r>
      <w:r w:rsidR="00E468DE" w:rsidRPr="002D2841">
        <w:rPr>
          <w:rFonts w:ascii="Arial" w:hAnsi="Arial" w:cs="Arial"/>
          <w:bCs/>
        </w:rPr>
        <w:t>p</w:t>
      </w:r>
      <w:r w:rsidR="003910FC" w:rsidRPr="002D2841">
        <w:rPr>
          <w:rFonts w:ascii="Arial" w:hAnsi="Arial" w:cs="Arial"/>
          <w:bCs/>
        </w:rPr>
        <w:t>rzestępstwo przekroczenia uprawnień</w:t>
      </w:r>
      <w:r w:rsidR="00E468DE" w:rsidRPr="002D2841">
        <w:rPr>
          <w:rFonts w:ascii="Arial" w:hAnsi="Arial" w:cs="Arial"/>
          <w:bCs/>
        </w:rPr>
        <w:t xml:space="preserve"> </w:t>
      </w:r>
      <w:r w:rsidR="00E468DE" w:rsidRPr="00EA1A28">
        <w:rPr>
          <w:rFonts w:ascii="Arial" w:hAnsi="Arial" w:cs="Arial"/>
          <w:bCs/>
        </w:rPr>
        <w:t>ma miejsce w związku z wystąpieniem</w:t>
      </w:r>
      <w:r w:rsidR="00E468DE" w:rsidRPr="00EA1A28">
        <w:rPr>
          <w:rFonts w:ascii="Arial" w:hAnsi="Arial" w:cs="Arial"/>
        </w:rPr>
        <w:t xml:space="preserve"> wszelkich działań, wykraczających</w:t>
      </w:r>
      <w:r w:rsidR="003910FC" w:rsidRPr="00EA1A28">
        <w:rPr>
          <w:rFonts w:ascii="Arial" w:hAnsi="Arial" w:cs="Arial"/>
        </w:rPr>
        <w:t xml:space="preserve"> poza granice wyznaczone</w:t>
      </w:r>
      <w:r w:rsidR="00E468DE" w:rsidRPr="00EA1A28">
        <w:rPr>
          <w:rFonts w:ascii="Arial" w:hAnsi="Arial" w:cs="Arial"/>
        </w:rPr>
        <w:t xml:space="preserve"> przepisami prawa lub ich istotą</w:t>
      </w:r>
      <w:r w:rsidR="007A3E9C">
        <w:rPr>
          <w:rFonts w:ascii="Arial" w:hAnsi="Arial" w:cs="Arial"/>
        </w:rPr>
        <w:t xml:space="preserve">. </w:t>
      </w:r>
      <w:r w:rsidR="007A3E9C" w:rsidRPr="002D2841">
        <w:rPr>
          <w:rFonts w:ascii="Arial" w:hAnsi="Arial" w:cs="Arial"/>
          <w:b/>
          <w:u w:val="single"/>
        </w:rPr>
        <w:t xml:space="preserve">Niewątpliwie w niniejszej sprawie </w:t>
      </w:r>
      <w:r w:rsidR="00E468DE" w:rsidRPr="002D2841">
        <w:rPr>
          <w:rFonts w:ascii="Arial" w:hAnsi="Arial" w:cs="Arial"/>
          <w:b/>
          <w:u w:val="single"/>
        </w:rPr>
        <w:t xml:space="preserve"> </w:t>
      </w:r>
      <w:r w:rsidR="007A3E9C" w:rsidRPr="002D2841">
        <w:rPr>
          <w:rFonts w:ascii="Arial" w:hAnsi="Arial" w:cs="Arial"/>
          <w:b/>
          <w:u w:val="single"/>
        </w:rPr>
        <w:t>nie został wypełniony żaden z celów  wskazanych w art. 14 Ustawy z 6 kwietnia 1990 roku o policji, który wyznacza granice w jakich Policja wykonuje czy</w:t>
      </w:r>
      <w:r w:rsidR="008B5DAE">
        <w:rPr>
          <w:rFonts w:ascii="Arial" w:hAnsi="Arial" w:cs="Arial"/>
          <w:b/>
          <w:u w:val="single"/>
        </w:rPr>
        <w:t>nności operacyjno- rozpoznawcze.</w:t>
      </w:r>
      <w:r w:rsidR="007A3E9C" w:rsidRPr="00EA1A28">
        <w:rPr>
          <w:rFonts w:ascii="Arial" w:hAnsi="Arial" w:cs="Arial"/>
        </w:rPr>
        <w:t xml:space="preserve">. Artykuł ten wskazuje, iż Policja może podjąć działalność zmierzającą do: </w:t>
      </w:r>
    </w:p>
    <w:p w14:paraId="645A20F6" w14:textId="77777777" w:rsidR="007A3E9C" w:rsidRPr="00EA1A28" w:rsidRDefault="007A3E9C" w:rsidP="007A3E9C">
      <w:pPr>
        <w:spacing w:after="0"/>
        <w:jc w:val="both"/>
        <w:rPr>
          <w:rFonts w:ascii="Arial" w:hAnsi="Arial" w:cs="Arial"/>
        </w:rPr>
      </w:pPr>
    </w:p>
    <w:p w14:paraId="70AF7207" w14:textId="77777777" w:rsidR="007A3E9C" w:rsidRPr="00EA1A28" w:rsidRDefault="007A3E9C" w:rsidP="007A3E9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</w:rPr>
      </w:pPr>
      <w:bookmarkStart w:id="1" w:name="mip36509535"/>
      <w:bookmarkEnd w:id="1"/>
      <w:r w:rsidRPr="00EA1A28">
        <w:rPr>
          <w:rFonts w:ascii="Arial" w:hAnsi="Arial" w:cs="Arial"/>
        </w:rPr>
        <w:t>rozpoznawania, zapobiegania i wykrywania przestępstw i wykroczeń;</w:t>
      </w:r>
    </w:p>
    <w:p w14:paraId="15B66FA1" w14:textId="77777777" w:rsidR="007A3E9C" w:rsidRPr="00EA1A28" w:rsidRDefault="007A3E9C" w:rsidP="007A3E9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</w:rPr>
      </w:pPr>
      <w:bookmarkStart w:id="2" w:name="mip36509536"/>
      <w:bookmarkEnd w:id="2"/>
      <w:r w:rsidRPr="00EA1A28">
        <w:rPr>
          <w:rFonts w:ascii="Arial" w:hAnsi="Arial" w:cs="Arial"/>
        </w:rPr>
        <w:t>poszukiwania osób ukrywających się przed organami ścigania lub wymiaru sprawiedliwości, zwanych dalej „osobami poszukiwanymi”;</w:t>
      </w:r>
    </w:p>
    <w:p w14:paraId="12E53B59" w14:textId="77777777" w:rsidR="007A3E9C" w:rsidRDefault="007A3E9C" w:rsidP="007A3E9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</w:rPr>
      </w:pPr>
      <w:bookmarkStart w:id="3" w:name="mip36509537"/>
      <w:bookmarkEnd w:id="3"/>
      <w:r w:rsidRPr="00EA1A28">
        <w:rPr>
          <w:rFonts w:ascii="Arial" w:hAnsi="Arial" w:cs="Arial"/>
        </w:rPr>
        <w:t>poszukiwania osób, które na skutek wystąpienia zdarzenia uniemożliwiającego ustalenie miejsca ich pobytu należy odnaleźć w celu zapewnienia ochrony ich życia, zdrowia lub wolności, zwanych dalej „osobami zaginionymi”.</w:t>
      </w:r>
    </w:p>
    <w:p w14:paraId="7F228039" w14:textId="77777777" w:rsidR="007A3E9C" w:rsidRPr="00EA1A28" w:rsidRDefault="007A3E9C" w:rsidP="007A3E9C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699E0211" w14:textId="77777777" w:rsidR="003910FC" w:rsidRPr="00EA1A28" w:rsidRDefault="007A3E9C" w:rsidP="00EA1A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podkreślenie </w:t>
      </w:r>
      <w:r w:rsidR="00E468DE" w:rsidRPr="00EA1A28">
        <w:rPr>
          <w:rFonts w:ascii="Arial" w:hAnsi="Arial" w:cs="Arial"/>
        </w:rPr>
        <w:t xml:space="preserve">zasługuje </w:t>
      </w:r>
      <w:r w:rsidR="000F04FB">
        <w:rPr>
          <w:rFonts w:ascii="Arial" w:hAnsi="Arial" w:cs="Arial"/>
        </w:rPr>
        <w:t xml:space="preserve">również </w:t>
      </w:r>
      <w:r w:rsidR="00E468DE" w:rsidRPr="00EA1A28">
        <w:rPr>
          <w:rFonts w:ascii="Arial" w:hAnsi="Arial" w:cs="Arial"/>
        </w:rPr>
        <w:t xml:space="preserve">stanowisko, iż przekroczenie uprawnień następuje </w:t>
      </w:r>
      <w:r>
        <w:rPr>
          <w:rFonts w:ascii="Arial" w:hAnsi="Arial" w:cs="Arial"/>
        </w:rPr>
        <w:t xml:space="preserve">także </w:t>
      </w:r>
      <w:r w:rsidR="003F6A25" w:rsidRPr="00EA1A28">
        <w:rPr>
          <w:rFonts w:ascii="Arial" w:hAnsi="Arial" w:cs="Arial"/>
        </w:rPr>
        <w:t>w ramach czynności</w:t>
      </w:r>
      <w:r w:rsidR="00E468DE" w:rsidRPr="00EA1A28">
        <w:rPr>
          <w:rFonts w:ascii="Arial" w:hAnsi="Arial" w:cs="Arial"/>
        </w:rPr>
        <w:t xml:space="preserve"> mieszczących się w zakresie uprawnień funkcjonariusza, </w:t>
      </w:r>
      <w:r w:rsidR="00E468DE" w:rsidRPr="00EA1A28">
        <w:rPr>
          <w:rFonts w:ascii="Arial" w:hAnsi="Arial" w:cs="Arial"/>
          <w:u w:val="single"/>
        </w:rPr>
        <w:t>ale do podjęcia których nie było podstawy faktycznej lub prawnej</w:t>
      </w:r>
      <w:r w:rsidR="00E468DE" w:rsidRPr="00EA1A28">
        <w:rPr>
          <w:rFonts w:ascii="Arial" w:hAnsi="Arial" w:cs="Arial"/>
        </w:rPr>
        <w:t xml:space="preserve">. </w:t>
      </w:r>
      <w:r w:rsidR="003910FC" w:rsidRPr="00EA1A28">
        <w:rPr>
          <w:rFonts w:ascii="Arial" w:hAnsi="Arial" w:cs="Arial"/>
        </w:rPr>
        <w:t>(</w:t>
      </w:r>
      <w:r w:rsidR="00E468DE" w:rsidRPr="00EA1A28">
        <w:rPr>
          <w:rFonts w:ascii="Arial" w:hAnsi="Arial" w:cs="Arial"/>
          <w:i/>
        </w:rPr>
        <w:t xml:space="preserve">Andrzej </w:t>
      </w:r>
      <w:r w:rsidR="008C0997" w:rsidRPr="00EA1A28">
        <w:rPr>
          <w:rFonts w:ascii="Arial" w:hAnsi="Arial" w:cs="Arial"/>
          <w:i/>
          <w:iCs/>
        </w:rPr>
        <w:t>Marek</w:t>
      </w:r>
      <w:r w:rsidR="008C0997" w:rsidRPr="00EA1A28">
        <w:rPr>
          <w:rFonts w:ascii="Arial" w:hAnsi="Arial" w:cs="Arial"/>
        </w:rPr>
        <w:t>, Kodeks karny, 2006, s. 429–430</w:t>
      </w:r>
      <w:r w:rsidR="00E468DE" w:rsidRPr="00EA1A28">
        <w:rPr>
          <w:rFonts w:ascii="Arial" w:hAnsi="Arial" w:cs="Arial"/>
        </w:rPr>
        <w:t>,</w:t>
      </w:r>
      <w:r w:rsidR="00E468DE" w:rsidRPr="00EA1A28">
        <w:rPr>
          <w:rFonts w:ascii="Arial" w:hAnsi="Arial" w:cs="Arial"/>
          <w:i/>
          <w:iCs/>
        </w:rPr>
        <w:t xml:space="preserve"> M. Siewierski</w:t>
      </w:r>
      <w:r w:rsidR="00E468DE" w:rsidRPr="00EA1A28">
        <w:rPr>
          <w:rFonts w:ascii="Arial" w:hAnsi="Arial" w:cs="Arial"/>
        </w:rPr>
        <w:t>, Kodeks karny i prawo o wykroczeniach, 1965, s. 386</w:t>
      </w:r>
      <w:r w:rsidR="003910FC" w:rsidRPr="00EA1A28">
        <w:rPr>
          <w:rFonts w:ascii="Arial" w:hAnsi="Arial" w:cs="Arial"/>
        </w:rPr>
        <w:t>)</w:t>
      </w:r>
      <w:r w:rsidR="008C0997" w:rsidRPr="00EA1A28">
        <w:rPr>
          <w:rFonts w:ascii="Arial" w:hAnsi="Arial" w:cs="Arial"/>
        </w:rPr>
        <w:t>.</w:t>
      </w:r>
    </w:p>
    <w:p w14:paraId="6DC22DA6" w14:textId="77777777" w:rsidR="00EA323E" w:rsidRPr="00EA1A28" w:rsidRDefault="00EA323E" w:rsidP="00EA1A28">
      <w:pPr>
        <w:spacing w:after="0"/>
        <w:jc w:val="both"/>
        <w:rPr>
          <w:rFonts w:ascii="Arial" w:hAnsi="Arial" w:cs="Arial"/>
        </w:rPr>
      </w:pPr>
    </w:p>
    <w:p w14:paraId="4D5E3396" w14:textId="77777777" w:rsidR="000F04FB" w:rsidRPr="00EA1A28" w:rsidRDefault="00EA323E" w:rsidP="00EA1A28">
      <w:pPr>
        <w:spacing w:after="0"/>
        <w:jc w:val="both"/>
        <w:rPr>
          <w:rFonts w:ascii="Arial" w:hAnsi="Arial" w:cs="Arial"/>
        </w:rPr>
      </w:pPr>
      <w:r w:rsidRPr="00EA1A28">
        <w:rPr>
          <w:rFonts w:ascii="Arial" w:hAnsi="Arial" w:cs="Arial"/>
        </w:rPr>
        <w:t>W świetle powyższego można stwierdzić, że uprawnienia funkcjonariuszy</w:t>
      </w:r>
      <w:r w:rsidR="007A3E9C">
        <w:rPr>
          <w:rFonts w:ascii="Arial" w:hAnsi="Arial" w:cs="Arial"/>
        </w:rPr>
        <w:t xml:space="preserve"> Policji </w:t>
      </w:r>
      <w:r w:rsidR="008C0997" w:rsidRPr="00EA1A28">
        <w:rPr>
          <w:rFonts w:ascii="Arial" w:hAnsi="Arial" w:cs="Arial"/>
        </w:rPr>
        <w:t xml:space="preserve">zostały wykorzystane </w:t>
      </w:r>
      <w:r w:rsidRPr="00EA1A28">
        <w:rPr>
          <w:rFonts w:ascii="Arial" w:hAnsi="Arial" w:cs="Arial"/>
        </w:rPr>
        <w:t xml:space="preserve">jedynie </w:t>
      </w:r>
      <w:r w:rsidR="008C0997" w:rsidRPr="00EA1A28">
        <w:rPr>
          <w:rFonts w:ascii="Arial" w:hAnsi="Arial" w:cs="Arial"/>
        </w:rPr>
        <w:t xml:space="preserve">w celu inwigilacji </w:t>
      </w:r>
      <w:r w:rsidR="009748A8" w:rsidRPr="00EA1A28">
        <w:rPr>
          <w:rFonts w:ascii="Arial" w:hAnsi="Arial" w:cs="Arial"/>
        </w:rPr>
        <w:t>cz</w:t>
      </w:r>
      <w:r w:rsidR="006606B1">
        <w:rPr>
          <w:rFonts w:ascii="Arial" w:hAnsi="Arial" w:cs="Arial"/>
        </w:rPr>
        <w:t>łonów opozycji,</w:t>
      </w:r>
      <w:r w:rsidR="00DE131A" w:rsidRPr="00EA1A28">
        <w:rPr>
          <w:rFonts w:ascii="Arial" w:hAnsi="Arial" w:cs="Arial"/>
        </w:rPr>
        <w:t xml:space="preserve"> </w:t>
      </w:r>
      <w:r w:rsidR="006606B1">
        <w:rPr>
          <w:rFonts w:ascii="Arial" w:hAnsi="Arial" w:cs="Arial"/>
        </w:rPr>
        <w:t>prowadzących</w:t>
      </w:r>
      <w:r w:rsidR="009748A8" w:rsidRPr="00EA1A28">
        <w:rPr>
          <w:rFonts w:ascii="Arial" w:hAnsi="Arial" w:cs="Arial"/>
        </w:rPr>
        <w:t xml:space="preserve"> </w:t>
      </w:r>
      <w:r w:rsidR="006606B1">
        <w:rPr>
          <w:rFonts w:ascii="Arial" w:hAnsi="Arial" w:cs="Arial"/>
        </w:rPr>
        <w:t xml:space="preserve">w pełni legalną </w:t>
      </w:r>
      <w:r w:rsidR="009748A8" w:rsidRPr="00EA1A28">
        <w:rPr>
          <w:rFonts w:ascii="Arial" w:hAnsi="Arial" w:cs="Arial"/>
        </w:rPr>
        <w:t>działalność</w:t>
      </w:r>
      <w:r w:rsidR="006606B1">
        <w:rPr>
          <w:rFonts w:ascii="Arial" w:hAnsi="Arial" w:cs="Arial"/>
        </w:rPr>
        <w:t>,</w:t>
      </w:r>
      <w:r w:rsidR="009748A8" w:rsidRPr="00EA1A28">
        <w:rPr>
          <w:rFonts w:ascii="Arial" w:hAnsi="Arial" w:cs="Arial"/>
        </w:rPr>
        <w:t xml:space="preserve"> </w:t>
      </w:r>
      <w:r w:rsidR="006606B1">
        <w:rPr>
          <w:rFonts w:ascii="Arial" w:hAnsi="Arial" w:cs="Arial"/>
        </w:rPr>
        <w:t>mającą na celu</w:t>
      </w:r>
      <w:r w:rsidR="009748A8" w:rsidRPr="00EA1A28">
        <w:rPr>
          <w:rFonts w:ascii="Arial" w:hAnsi="Arial" w:cs="Arial"/>
        </w:rPr>
        <w:t xml:space="preserve"> </w:t>
      </w:r>
      <w:r w:rsidR="006606B1">
        <w:rPr>
          <w:rFonts w:ascii="Arial" w:hAnsi="Arial" w:cs="Arial"/>
        </w:rPr>
        <w:t>ochronę</w:t>
      </w:r>
      <w:r w:rsidR="009748A8" w:rsidRPr="00EA1A28">
        <w:rPr>
          <w:rFonts w:ascii="Arial" w:hAnsi="Arial" w:cs="Arial"/>
        </w:rPr>
        <w:t xml:space="preserve"> konstytucyjnych wartości i praw, które w ich przekonaniu zostały na</w:t>
      </w:r>
      <w:r w:rsidR="00E468DE" w:rsidRPr="00EA1A28">
        <w:rPr>
          <w:rFonts w:ascii="Arial" w:hAnsi="Arial" w:cs="Arial"/>
        </w:rPr>
        <w:t>ruszone w związku z przeprowadza</w:t>
      </w:r>
      <w:r w:rsidR="009748A8" w:rsidRPr="00EA1A28">
        <w:rPr>
          <w:rFonts w:ascii="Arial" w:hAnsi="Arial" w:cs="Arial"/>
        </w:rPr>
        <w:t>ną reformą sądownictwa.</w:t>
      </w:r>
      <w:r w:rsidR="000F04FB">
        <w:rPr>
          <w:rFonts w:ascii="Arial" w:hAnsi="Arial" w:cs="Arial"/>
        </w:rPr>
        <w:t xml:space="preserve"> </w:t>
      </w:r>
      <w:r w:rsidR="00DE131A" w:rsidRPr="00EA1A28">
        <w:rPr>
          <w:rFonts w:ascii="Arial" w:hAnsi="Arial" w:cs="Arial"/>
        </w:rPr>
        <w:t xml:space="preserve">Nie można mieć zatem wątpliwości, że funkcjonariusze i ich zwierzchnicy, </w:t>
      </w:r>
      <w:r w:rsidR="00267EFF" w:rsidRPr="00EA1A28">
        <w:rPr>
          <w:rFonts w:ascii="Arial" w:hAnsi="Arial" w:cs="Arial"/>
          <w:u w:val="single"/>
        </w:rPr>
        <w:t>wykorzystując uprawnienia policyjne</w:t>
      </w:r>
      <w:r w:rsidR="00DE131A" w:rsidRPr="00EA1A28">
        <w:rPr>
          <w:rFonts w:ascii="Arial" w:hAnsi="Arial" w:cs="Arial"/>
          <w:u w:val="single"/>
        </w:rPr>
        <w:t>, posłużyli się nimi w sposób całkowicie niezgodny z ich celem i założeniami demokratycznego państwa prawa</w:t>
      </w:r>
      <w:r w:rsidR="00267EFF" w:rsidRPr="00EA1A28">
        <w:rPr>
          <w:rFonts w:ascii="Arial" w:hAnsi="Arial" w:cs="Arial"/>
        </w:rPr>
        <w:t xml:space="preserve"> – tym samym nadużywając ich w rozumieniu art. 231 KK</w:t>
      </w:r>
      <w:r w:rsidR="00EA1A28">
        <w:rPr>
          <w:rFonts w:ascii="Arial" w:hAnsi="Arial" w:cs="Arial"/>
        </w:rPr>
        <w:t>.</w:t>
      </w:r>
    </w:p>
    <w:p w14:paraId="31EDEC1E" w14:textId="77777777" w:rsidR="00DE131A" w:rsidRPr="00EA1A28" w:rsidRDefault="00DE131A" w:rsidP="00EA1A28">
      <w:pPr>
        <w:spacing w:after="0"/>
        <w:jc w:val="both"/>
        <w:rPr>
          <w:rFonts w:ascii="Arial" w:hAnsi="Arial" w:cs="Arial"/>
        </w:rPr>
      </w:pPr>
    </w:p>
    <w:p w14:paraId="0F880096" w14:textId="77777777" w:rsidR="008C0997" w:rsidRPr="00EA1A28" w:rsidRDefault="000F04FB" w:rsidP="00EA1A28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Co więcej, z</w:t>
      </w:r>
      <w:r w:rsidR="007B35DE" w:rsidRPr="00EA1A28">
        <w:rPr>
          <w:rFonts w:ascii="Arial" w:hAnsi="Arial" w:cs="Arial"/>
        </w:rPr>
        <w:t>godnie z dyspozycją wskazaną w art. 231 KK o podejrzeniu popełnienia przestępstw</w:t>
      </w:r>
      <w:r w:rsidR="001514A3" w:rsidRPr="00EA1A28">
        <w:rPr>
          <w:rFonts w:ascii="Arial" w:hAnsi="Arial" w:cs="Arial"/>
        </w:rPr>
        <w:t>a</w:t>
      </w:r>
      <w:r w:rsidR="007B35DE" w:rsidRPr="00EA1A28">
        <w:rPr>
          <w:rFonts w:ascii="Arial" w:hAnsi="Arial" w:cs="Arial"/>
        </w:rPr>
        <w:t xml:space="preserve"> można mówić w sytu</w:t>
      </w:r>
      <w:r w:rsidR="001514A3" w:rsidRPr="00EA1A28">
        <w:rPr>
          <w:rFonts w:ascii="Arial" w:hAnsi="Arial" w:cs="Arial"/>
        </w:rPr>
        <w:t>acji, w której szkoda wynikła przez</w:t>
      </w:r>
      <w:r w:rsidR="007B35DE" w:rsidRPr="00EA1A28">
        <w:rPr>
          <w:rFonts w:ascii="Arial" w:hAnsi="Arial" w:cs="Arial"/>
        </w:rPr>
        <w:t xml:space="preserve"> w</w:t>
      </w:r>
      <w:r w:rsidR="001514A3" w:rsidRPr="00EA1A28">
        <w:rPr>
          <w:rFonts w:ascii="Arial" w:hAnsi="Arial" w:cs="Arial"/>
        </w:rPr>
        <w:t>z</w:t>
      </w:r>
      <w:r w:rsidR="007B35DE" w:rsidRPr="00EA1A28">
        <w:rPr>
          <w:rFonts w:ascii="Arial" w:hAnsi="Arial" w:cs="Arial"/>
        </w:rPr>
        <w:t xml:space="preserve">gląd na interes publiczny lub prywatny. </w:t>
      </w:r>
      <w:r w:rsidR="007B35DE" w:rsidRPr="00EA1A28">
        <w:rPr>
          <w:rFonts w:ascii="Arial" w:hAnsi="Arial" w:cs="Arial"/>
          <w:u w:val="single"/>
        </w:rPr>
        <w:t xml:space="preserve">W niniejszym przypadku należy wskazać, że przesłanka ta została wypełniona zarówno </w:t>
      </w:r>
      <w:r w:rsidR="00EA1A28">
        <w:rPr>
          <w:rFonts w:ascii="Arial" w:hAnsi="Arial" w:cs="Arial"/>
          <w:u w:val="single"/>
        </w:rPr>
        <w:t xml:space="preserve">w kontekście </w:t>
      </w:r>
      <w:r w:rsidR="007B35DE" w:rsidRPr="00EA1A28">
        <w:rPr>
          <w:rFonts w:ascii="Arial" w:hAnsi="Arial" w:cs="Arial"/>
          <w:u w:val="single"/>
        </w:rPr>
        <w:t xml:space="preserve"> interesu publicznego, jak i prywatnego. </w:t>
      </w:r>
      <w:r w:rsidR="008C0997" w:rsidRPr="00EA1A28">
        <w:rPr>
          <w:rFonts w:ascii="Arial" w:hAnsi="Arial" w:cs="Arial"/>
          <w:u w:val="single"/>
        </w:rPr>
        <w:t xml:space="preserve"> </w:t>
      </w:r>
    </w:p>
    <w:p w14:paraId="6F8B2B1E" w14:textId="77777777" w:rsidR="007B35DE" w:rsidRPr="00EA1A28" w:rsidRDefault="007B35DE" w:rsidP="00EA1A28">
      <w:pPr>
        <w:spacing w:after="0"/>
        <w:jc w:val="both"/>
        <w:rPr>
          <w:rFonts w:ascii="Arial" w:hAnsi="Arial" w:cs="Arial"/>
        </w:rPr>
      </w:pPr>
    </w:p>
    <w:p w14:paraId="490219AE" w14:textId="77777777" w:rsidR="00E55438" w:rsidRPr="00EA1A28" w:rsidRDefault="005330A3" w:rsidP="00EA1A28">
      <w:pPr>
        <w:spacing w:after="0"/>
        <w:jc w:val="both"/>
        <w:rPr>
          <w:rFonts w:ascii="Arial" w:hAnsi="Arial" w:cs="Arial"/>
        </w:rPr>
      </w:pPr>
      <w:r w:rsidRPr="00EA1A28">
        <w:rPr>
          <w:rFonts w:ascii="Arial" w:hAnsi="Arial" w:cs="Arial"/>
        </w:rPr>
        <w:t xml:space="preserve">Konstytucja RP jako </w:t>
      </w:r>
      <w:r w:rsidR="004E533F" w:rsidRPr="00EA1A28">
        <w:rPr>
          <w:rFonts w:ascii="Arial" w:hAnsi="Arial" w:cs="Arial"/>
        </w:rPr>
        <w:t xml:space="preserve">najważniejsze </w:t>
      </w:r>
      <w:r w:rsidR="0088105A" w:rsidRPr="00EA1A28">
        <w:rPr>
          <w:rFonts w:ascii="Arial" w:hAnsi="Arial" w:cs="Arial"/>
        </w:rPr>
        <w:t>źródło prawa</w:t>
      </w:r>
      <w:r w:rsidRPr="00EA1A28">
        <w:rPr>
          <w:rFonts w:ascii="Arial" w:hAnsi="Arial" w:cs="Arial"/>
        </w:rPr>
        <w:t xml:space="preserve"> obowiązujące</w:t>
      </w:r>
      <w:r w:rsidR="0088105A" w:rsidRPr="00EA1A28">
        <w:rPr>
          <w:rFonts w:ascii="Arial" w:hAnsi="Arial" w:cs="Arial"/>
        </w:rPr>
        <w:t>go</w:t>
      </w:r>
      <w:r w:rsidRPr="00EA1A28">
        <w:rPr>
          <w:rFonts w:ascii="Arial" w:hAnsi="Arial" w:cs="Arial"/>
        </w:rPr>
        <w:t xml:space="preserve"> w Rzeczpospolitej Polskiej</w:t>
      </w:r>
      <w:r w:rsidR="00EA1A28">
        <w:rPr>
          <w:rFonts w:ascii="Arial" w:hAnsi="Arial" w:cs="Arial"/>
        </w:rPr>
        <w:t>,</w:t>
      </w:r>
      <w:r w:rsidRPr="00EA1A28">
        <w:rPr>
          <w:rFonts w:ascii="Arial" w:hAnsi="Arial" w:cs="Arial"/>
        </w:rPr>
        <w:t xml:space="preserve"> podkreśla wartości, które w żadnym wypadku</w:t>
      </w:r>
      <w:r w:rsidR="00E55438" w:rsidRPr="00EA1A28">
        <w:rPr>
          <w:rFonts w:ascii="Arial" w:hAnsi="Arial" w:cs="Arial"/>
        </w:rPr>
        <w:t>,</w:t>
      </w:r>
      <w:r w:rsidRPr="00EA1A28">
        <w:rPr>
          <w:rFonts w:ascii="Arial" w:hAnsi="Arial" w:cs="Arial"/>
        </w:rPr>
        <w:t xml:space="preserve"> bez uzasadnionego </w:t>
      </w:r>
      <w:r w:rsidR="00D1403F" w:rsidRPr="00EA1A28">
        <w:rPr>
          <w:rFonts w:ascii="Arial" w:hAnsi="Arial" w:cs="Arial"/>
        </w:rPr>
        <w:t>w sposób odpowiedni interesu</w:t>
      </w:r>
      <w:r w:rsidRPr="00EA1A28">
        <w:rPr>
          <w:rFonts w:ascii="Arial" w:hAnsi="Arial" w:cs="Arial"/>
        </w:rPr>
        <w:t xml:space="preserve"> nie mogą być ograniczone. Wolność zrzeszania się</w:t>
      </w:r>
      <w:r w:rsidR="00EA1A28">
        <w:rPr>
          <w:rFonts w:ascii="Arial" w:hAnsi="Arial" w:cs="Arial"/>
        </w:rPr>
        <w:t>,</w:t>
      </w:r>
      <w:r w:rsidRPr="00EA1A28">
        <w:rPr>
          <w:rFonts w:ascii="Arial" w:hAnsi="Arial" w:cs="Arial"/>
        </w:rPr>
        <w:t xml:space="preserve"> określona w art. 12 oraz wolność zgromadzeń (art. 57)</w:t>
      </w:r>
      <w:r w:rsidR="00E55438" w:rsidRPr="00EA1A28">
        <w:rPr>
          <w:rFonts w:ascii="Arial" w:hAnsi="Arial" w:cs="Arial"/>
        </w:rPr>
        <w:t xml:space="preserve"> wskazują na</w:t>
      </w:r>
      <w:r w:rsidRPr="00EA1A28">
        <w:rPr>
          <w:rFonts w:ascii="Arial" w:hAnsi="Arial" w:cs="Arial"/>
        </w:rPr>
        <w:t xml:space="preserve"> prawo każdego człowieka do dobrowolnego przystępowania do organizacji pozarządowych. W ramach swojej działalności, każdy czło</w:t>
      </w:r>
      <w:r w:rsidR="00E55438" w:rsidRPr="00EA1A28">
        <w:rPr>
          <w:rFonts w:ascii="Arial" w:hAnsi="Arial" w:cs="Arial"/>
        </w:rPr>
        <w:t>wiek</w:t>
      </w:r>
      <w:r w:rsidRPr="00EA1A28">
        <w:rPr>
          <w:rFonts w:ascii="Arial" w:hAnsi="Arial" w:cs="Arial"/>
        </w:rPr>
        <w:t xml:space="preserve"> korzysta z wolności osobistej (art. 31, art. 41), prawa do prywatności (art. 47), a zgodnie z art. 51 ust. 2 władze publiczne nie mają prawa pozyskiwana, gromadzenia i udostępniania o obywatelach informacji innych niż niezbędne w d</w:t>
      </w:r>
      <w:r w:rsidR="00D1403F" w:rsidRPr="00EA1A28">
        <w:rPr>
          <w:rFonts w:ascii="Arial" w:hAnsi="Arial" w:cs="Arial"/>
        </w:rPr>
        <w:t xml:space="preserve">emokratycznym państwie </w:t>
      </w:r>
      <w:r w:rsidR="00D1403F" w:rsidRPr="00EA1A28">
        <w:rPr>
          <w:rFonts w:ascii="Arial" w:hAnsi="Arial" w:cs="Arial"/>
        </w:rPr>
        <w:lastRenderedPageBreak/>
        <w:t>prawym. Poczuc</w:t>
      </w:r>
      <w:r w:rsidRPr="00EA1A28">
        <w:rPr>
          <w:rFonts w:ascii="Arial" w:hAnsi="Arial" w:cs="Arial"/>
        </w:rPr>
        <w:t xml:space="preserve">ie bezpieczeństwa </w:t>
      </w:r>
      <w:r w:rsidR="006606B1">
        <w:rPr>
          <w:rFonts w:ascii="Arial" w:hAnsi="Arial" w:cs="Arial"/>
        </w:rPr>
        <w:t>Pana Wojciecha Kinasiewicza i Pana Tadeusza Jakrzewskiego</w:t>
      </w:r>
      <w:r w:rsidRPr="00EA1A28">
        <w:rPr>
          <w:rFonts w:ascii="Arial" w:hAnsi="Arial" w:cs="Arial"/>
        </w:rPr>
        <w:t xml:space="preserve"> w </w:t>
      </w:r>
      <w:r w:rsidR="00E55438" w:rsidRPr="00EA1A28">
        <w:rPr>
          <w:rFonts w:ascii="Arial" w:hAnsi="Arial" w:cs="Arial"/>
        </w:rPr>
        <w:t>związku z przeprowadzoną inwigilacją zostało w sposób ewidentny obniżone</w:t>
      </w:r>
      <w:r w:rsidR="00D1403F" w:rsidRPr="00EA1A28">
        <w:rPr>
          <w:rFonts w:ascii="Arial" w:hAnsi="Arial" w:cs="Arial"/>
        </w:rPr>
        <w:t>, co może prowadzić do podjęcia decyzji o zaprzestaniu prowadzenia niektórych aspektów działalności</w:t>
      </w:r>
      <w:r w:rsidR="006606B1">
        <w:rPr>
          <w:rFonts w:ascii="Arial" w:hAnsi="Arial" w:cs="Arial"/>
        </w:rPr>
        <w:t xml:space="preserve"> opozycyjnej</w:t>
      </w:r>
      <w:r w:rsidR="00D1403F" w:rsidRPr="00EA1A28">
        <w:rPr>
          <w:rFonts w:ascii="Arial" w:hAnsi="Arial" w:cs="Arial"/>
        </w:rPr>
        <w:t xml:space="preserve">. </w:t>
      </w:r>
      <w:r w:rsidR="00E55438" w:rsidRPr="00EA1A28">
        <w:rPr>
          <w:rFonts w:ascii="Arial" w:hAnsi="Arial" w:cs="Arial"/>
        </w:rPr>
        <w:t xml:space="preserve">Orzecznictwo Trybunału Praw Człowieka zwraca uwagę na istotną rolę jakie w życiu obywateli pełnią organizacje społeczeństwa obywatelskiego. W wyroku </w:t>
      </w:r>
      <w:r w:rsidR="00E55438" w:rsidRPr="00EA1A28">
        <w:rPr>
          <w:rFonts w:ascii="Arial" w:hAnsi="Arial" w:cs="Arial"/>
          <w:i/>
        </w:rPr>
        <w:t>TASZ p. Węgrom</w:t>
      </w:r>
      <w:r w:rsidR="00E55438" w:rsidRPr="00EA1A28">
        <w:rPr>
          <w:rFonts w:ascii="Arial" w:hAnsi="Arial" w:cs="Arial"/>
        </w:rPr>
        <w:t xml:space="preserve"> Trybunał zaznaczył, że organizacje wypełniają w demokratycznym państwie prawnym rolę m.in. tzw. „stróża publicznego” i w związku z tym podlegają szczególnym gwarancjom ochronnym. </w:t>
      </w:r>
      <w:r w:rsidR="00D1403F" w:rsidRPr="00EA1A28">
        <w:rPr>
          <w:rFonts w:ascii="Arial" w:hAnsi="Arial" w:cs="Arial"/>
        </w:rPr>
        <w:t xml:space="preserve">Nie ulega wątpliwości, że przeprowadzone przez funkcjonariuszy Policji </w:t>
      </w:r>
      <w:r w:rsidR="006606B1" w:rsidRPr="00EA1A28">
        <w:rPr>
          <w:rFonts w:ascii="Arial" w:hAnsi="Arial" w:cs="Arial"/>
        </w:rPr>
        <w:t xml:space="preserve">działania </w:t>
      </w:r>
      <w:r w:rsidR="00D1403F" w:rsidRPr="00EA1A28">
        <w:rPr>
          <w:rFonts w:ascii="Arial" w:hAnsi="Arial" w:cs="Arial"/>
        </w:rPr>
        <w:t xml:space="preserve">stanowią ograniczenie wszystkich wyżej wymienionych praw i wolności </w:t>
      </w:r>
      <w:r w:rsidR="006606B1">
        <w:rPr>
          <w:rFonts w:ascii="Arial" w:hAnsi="Arial" w:cs="Arial"/>
        </w:rPr>
        <w:t>członków opozycji</w:t>
      </w:r>
      <w:r w:rsidR="00D1403F" w:rsidRPr="00EA1A28">
        <w:rPr>
          <w:rFonts w:ascii="Arial" w:hAnsi="Arial" w:cs="Arial"/>
        </w:rPr>
        <w:t xml:space="preserve"> wynikających z Konstytucji – a zatem uderzają w ich interes prywatny.  </w:t>
      </w:r>
      <w:r w:rsidR="006606B1">
        <w:rPr>
          <w:rFonts w:ascii="Arial" w:hAnsi="Arial" w:cs="Arial"/>
        </w:rPr>
        <w:t xml:space="preserve"> </w:t>
      </w:r>
    </w:p>
    <w:p w14:paraId="70A004BF" w14:textId="77777777" w:rsidR="00E55438" w:rsidRPr="00EA1A28" w:rsidRDefault="00E55438" w:rsidP="00EA1A28">
      <w:pPr>
        <w:spacing w:after="0"/>
        <w:jc w:val="both"/>
        <w:rPr>
          <w:rFonts w:ascii="Arial" w:hAnsi="Arial" w:cs="Arial"/>
        </w:rPr>
      </w:pPr>
    </w:p>
    <w:p w14:paraId="45E2F9BD" w14:textId="77777777" w:rsidR="00213F6E" w:rsidRDefault="00CC1CDE" w:rsidP="00EA1A28">
      <w:pPr>
        <w:spacing w:after="0"/>
        <w:jc w:val="both"/>
        <w:rPr>
          <w:rFonts w:ascii="Arial" w:hAnsi="Arial" w:cs="Arial"/>
        </w:rPr>
      </w:pPr>
      <w:r w:rsidRPr="00EA1A28">
        <w:rPr>
          <w:rFonts w:ascii="Arial" w:hAnsi="Arial" w:cs="Arial"/>
        </w:rPr>
        <w:t xml:space="preserve">Ponadto, Fundacja </w:t>
      </w:r>
      <w:r w:rsidR="00D14C70">
        <w:rPr>
          <w:rFonts w:ascii="Arial" w:hAnsi="Arial" w:cs="Arial"/>
        </w:rPr>
        <w:t xml:space="preserve">Wolnych </w:t>
      </w:r>
      <w:r w:rsidRPr="00EA1A28">
        <w:rPr>
          <w:rFonts w:ascii="Arial" w:hAnsi="Arial" w:cs="Arial"/>
        </w:rPr>
        <w:t xml:space="preserve">Obywateli RP jako organizacja, której cele statutowe nakierowane są na ochronę i promowanie demokracji, praw obywatelskich, może </w:t>
      </w:r>
      <w:r w:rsidR="00D1403F" w:rsidRPr="00EA1A28">
        <w:rPr>
          <w:rFonts w:ascii="Arial" w:hAnsi="Arial" w:cs="Arial"/>
        </w:rPr>
        <w:t>wyrażać</w:t>
      </w:r>
      <w:r w:rsidRPr="00EA1A28">
        <w:rPr>
          <w:rFonts w:ascii="Arial" w:hAnsi="Arial" w:cs="Arial"/>
        </w:rPr>
        <w:t xml:space="preserve"> swoje stanowisko poprzez </w:t>
      </w:r>
      <w:r w:rsidR="001514A3" w:rsidRPr="00EA1A28">
        <w:rPr>
          <w:rFonts w:ascii="Arial" w:hAnsi="Arial" w:cs="Arial"/>
        </w:rPr>
        <w:t xml:space="preserve">zagwarantowane w Konstytucji prawo </w:t>
      </w:r>
      <w:r w:rsidRPr="00EA1A28">
        <w:rPr>
          <w:rFonts w:ascii="Arial" w:hAnsi="Arial" w:cs="Arial"/>
        </w:rPr>
        <w:t>o</w:t>
      </w:r>
      <w:r w:rsidR="001514A3" w:rsidRPr="00EA1A28">
        <w:rPr>
          <w:rFonts w:ascii="Arial" w:hAnsi="Arial" w:cs="Arial"/>
        </w:rPr>
        <w:t>rganizowania</w:t>
      </w:r>
      <w:r w:rsidRPr="00EA1A28">
        <w:rPr>
          <w:rFonts w:ascii="Arial" w:hAnsi="Arial" w:cs="Arial"/>
        </w:rPr>
        <w:t xml:space="preserve"> manifestacji czy pikiet. </w:t>
      </w:r>
      <w:r w:rsidR="00213F6E" w:rsidRPr="00EA1A28">
        <w:rPr>
          <w:rFonts w:ascii="Arial" w:hAnsi="Arial" w:cs="Arial"/>
        </w:rPr>
        <w:t xml:space="preserve">Nie ulega wątpliwości zatem, że działanie mające na celu ograniczenie działalności Fundacji </w:t>
      </w:r>
      <w:r w:rsidR="00D14C70">
        <w:rPr>
          <w:rFonts w:ascii="Arial" w:hAnsi="Arial" w:cs="Arial"/>
        </w:rPr>
        <w:t xml:space="preserve">Wolnych </w:t>
      </w:r>
      <w:r w:rsidR="00213F6E" w:rsidRPr="00EA1A28">
        <w:rPr>
          <w:rFonts w:ascii="Arial" w:hAnsi="Arial" w:cs="Arial"/>
        </w:rPr>
        <w:t>Obywateli RP uderza w interes publiczny</w:t>
      </w:r>
      <w:r w:rsidR="00D14C70">
        <w:rPr>
          <w:rFonts w:ascii="Arial" w:hAnsi="Arial" w:cs="Arial"/>
        </w:rPr>
        <w:t xml:space="preserve"> –</w:t>
      </w:r>
      <w:r w:rsidR="00213F6E" w:rsidRPr="00EA1A28">
        <w:rPr>
          <w:rFonts w:ascii="Arial" w:hAnsi="Arial" w:cs="Arial"/>
        </w:rPr>
        <w:t xml:space="preserve"> ogółu obywateli. To właśnie w ich imieniu Fundacja dochodzi ochrony wartości konstytucyjnych</w:t>
      </w:r>
      <w:r w:rsidR="00D14C70">
        <w:rPr>
          <w:rFonts w:ascii="Arial" w:hAnsi="Arial" w:cs="Arial"/>
        </w:rPr>
        <w:t xml:space="preserve"> –</w:t>
      </w:r>
      <w:r w:rsidR="00213F6E" w:rsidRPr="00EA1A28">
        <w:rPr>
          <w:rFonts w:ascii="Arial" w:hAnsi="Arial" w:cs="Arial"/>
        </w:rPr>
        <w:t xml:space="preserve"> które w zaistniałej sytuacji zostały poddane w wątpliwość.</w:t>
      </w:r>
      <w:r w:rsidR="00AC0E4C" w:rsidRPr="00EA1A28">
        <w:rPr>
          <w:rFonts w:ascii="Arial" w:hAnsi="Arial" w:cs="Arial"/>
        </w:rPr>
        <w:t xml:space="preserve"> </w:t>
      </w:r>
      <w:r w:rsidRPr="00EA1A28">
        <w:rPr>
          <w:rFonts w:ascii="Arial" w:hAnsi="Arial" w:cs="Arial"/>
        </w:rPr>
        <w:t xml:space="preserve">Należy przy tym podkreślić stanowisko znajdujące się w Rezolucji </w:t>
      </w:r>
      <w:r w:rsidR="00213F6E" w:rsidRPr="00EA1A28">
        <w:rPr>
          <w:rFonts w:ascii="Arial" w:hAnsi="Arial" w:cs="Arial"/>
        </w:rPr>
        <w:t>Zgromadzania</w:t>
      </w:r>
      <w:r w:rsidRPr="00EA1A28">
        <w:rPr>
          <w:rFonts w:ascii="Arial" w:hAnsi="Arial" w:cs="Arial"/>
        </w:rPr>
        <w:t xml:space="preserve"> </w:t>
      </w:r>
      <w:r w:rsidR="00213F6E" w:rsidRPr="00EA1A28">
        <w:rPr>
          <w:rFonts w:ascii="Arial" w:hAnsi="Arial" w:cs="Arial"/>
        </w:rPr>
        <w:t>Parlamentarnego</w:t>
      </w:r>
      <w:r w:rsidRPr="00EA1A28">
        <w:rPr>
          <w:rFonts w:ascii="Arial" w:hAnsi="Arial" w:cs="Arial"/>
        </w:rPr>
        <w:t xml:space="preserve"> Rady Europy z 2016 roku</w:t>
      </w:r>
      <w:r w:rsidR="00D14C70">
        <w:rPr>
          <w:rFonts w:ascii="Arial" w:hAnsi="Arial" w:cs="Arial"/>
        </w:rPr>
        <w:t>,</w:t>
      </w:r>
      <w:r w:rsidRPr="00EA1A28">
        <w:rPr>
          <w:rFonts w:ascii="Arial" w:hAnsi="Arial" w:cs="Arial"/>
        </w:rPr>
        <w:t xml:space="preserve"> dotyczącej ochrony i roli obrońców praw człowieka,</w:t>
      </w:r>
      <w:r w:rsidR="00213F6E" w:rsidRPr="00EA1A28">
        <w:rPr>
          <w:rFonts w:ascii="Arial" w:hAnsi="Arial" w:cs="Arial"/>
        </w:rPr>
        <w:t xml:space="preserve"> która zaznacza</w:t>
      </w:r>
      <w:r w:rsidRPr="00EA1A28">
        <w:rPr>
          <w:rFonts w:ascii="Arial" w:hAnsi="Arial" w:cs="Arial"/>
        </w:rPr>
        <w:t xml:space="preserve"> iż organy państwowe są zobowiązane zapewnić tym organizacjom odpo</w:t>
      </w:r>
      <w:r w:rsidR="00D14C70">
        <w:rPr>
          <w:rFonts w:ascii="Arial" w:hAnsi="Arial" w:cs="Arial"/>
        </w:rPr>
        <w:t>wiednie warunki funkcjonowania,</w:t>
      </w:r>
      <w:r w:rsidRPr="00EA1A28">
        <w:rPr>
          <w:rFonts w:ascii="Arial" w:hAnsi="Arial" w:cs="Arial"/>
        </w:rPr>
        <w:t xml:space="preserve"> które umożliwiają im swobodę realizacji zadań statutowych, a w</w:t>
      </w:r>
      <w:r w:rsidR="00213F6E" w:rsidRPr="00EA1A28">
        <w:rPr>
          <w:rFonts w:ascii="Arial" w:hAnsi="Arial" w:cs="Arial"/>
        </w:rPr>
        <w:t xml:space="preserve"> </w:t>
      </w:r>
      <w:r w:rsidRPr="00EA1A28">
        <w:rPr>
          <w:rFonts w:ascii="Arial" w:hAnsi="Arial" w:cs="Arial"/>
        </w:rPr>
        <w:t>sz</w:t>
      </w:r>
      <w:r w:rsidR="00213F6E" w:rsidRPr="00EA1A28">
        <w:rPr>
          <w:rFonts w:ascii="Arial" w:hAnsi="Arial" w:cs="Arial"/>
        </w:rPr>
        <w:t>cz</w:t>
      </w:r>
      <w:r w:rsidRPr="00EA1A28">
        <w:rPr>
          <w:rFonts w:ascii="Arial" w:hAnsi="Arial" w:cs="Arial"/>
        </w:rPr>
        <w:t xml:space="preserve">ególności powinny powstrzymywać się od nieuzasadnionej </w:t>
      </w:r>
      <w:r w:rsidR="00213F6E" w:rsidRPr="00EA1A28">
        <w:rPr>
          <w:rFonts w:ascii="Arial" w:hAnsi="Arial" w:cs="Arial"/>
        </w:rPr>
        <w:t>inwigilacji</w:t>
      </w:r>
      <w:r w:rsidRPr="00EA1A28">
        <w:rPr>
          <w:rFonts w:ascii="Arial" w:hAnsi="Arial" w:cs="Arial"/>
        </w:rPr>
        <w:t xml:space="preserve"> tzw. Trzeciego </w:t>
      </w:r>
      <w:r w:rsidR="00F808FD" w:rsidRPr="00EA1A28">
        <w:rPr>
          <w:rFonts w:ascii="Arial" w:hAnsi="Arial" w:cs="Arial"/>
        </w:rPr>
        <w:t>sektora (pkt 6.</w:t>
      </w:r>
      <w:r w:rsidRPr="00EA1A28">
        <w:rPr>
          <w:rFonts w:ascii="Arial" w:hAnsi="Arial" w:cs="Arial"/>
        </w:rPr>
        <w:t xml:space="preserve">6). </w:t>
      </w:r>
    </w:p>
    <w:p w14:paraId="2F93A64C" w14:textId="77777777" w:rsidR="00EA1A28" w:rsidRPr="00EA1A28" w:rsidRDefault="00EA1A28" w:rsidP="00EA1A28">
      <w:pPr>
        <w:spacing w:after="0"/>
        <w:jc w:val="both"/>
        <w:rPr>
          <w:rFonts w:ascii="Arial" w:hAnsi="Arial" w:cs="Arial"/>
        </w:rPr>
      </w:pPr>
    </w:p>
    <w:p w14:paraId="4E5F74E5" w14:textId="77777777" w:rsidR="003910FC" w:rsidRDefault="00B9688E" w:rsidP="00EA1A28">
      <w:pPr>
        <w:spacing w:after="0"/>
        <w:jc w:val="both"/>
        <w:rPr>
          <w:rFonts w:ascii="Arial" w:hAnsi="Arial" w:cs="Arial"/>
        </w:rPr>
      </w:pPr>
      <w:r w:rsidRPr="00EA1A28">
        <w:rPr>
          <w:rFonts w:ascii="Arial" w:hAnsi="Arial" w:cs="Arial"/>
        </w:rPr>
        <w:t>I</w:t>
      </w:r>
      <w:r w:rsidR="00213F6E" w:rsidRPr="00EA1A28">
        <w:rPr>
          <w:rFonts w:ascii="Arial" w:hAnsi="Arial" w:cs="Arial"/>
        </w:rPr>
        <w:t xml:space="preserve">nwigilowanie organizacji </w:t>
      </w:r>
      <w:r w:rsidR="00D14C70">
        <w:rPr>
          <w:rFonts w:ascii="Arial" w:hAnsi="Arial" w:cs="Arial"/>
        </w:rPr>
        <w:t xml:space="preserve">i przedstawicieli </w:t>
      </w:r>
      <w:r w:rsidR="00213F6E" w:rsidRPr="00EA1A28">
        <w:rPr>
          <w:rFonts w:ascii="Arial" w:hAnsi="Arial" w:cs="Arial"/>
        </w:rPr>
        <w:t xml:space="preserve">społeczeństwa obywatelskiego </w:t>
      </w:r>
      <w:r w:rsidRPr="00EA1A28">
        <w:rPr>
          <w:rFonts w:ascii="Arial" w:hAnsi="Arial" w:cs="Arial"/>
        </w:rPr>
        <w:t xml:space="preserve">silnie </w:t>
      </w:r>
      <w:r w:rsidR="00213F6E" w:rsidRPr="00EA1A28">
        <w:rPr>
          <w:rFonts w:ascii="Arial" w:hAnsi="Arial" w:cs="Arial"/>
        </w:rPr>
        <w:t xml:space="preserve">uderza </w:t>
      </w:r>
      <w:r w:rsidR="00CC1CDE" w:rsidRPr="00EA1A28">
        <w:rPr>
          <w:rFonts w:ascii="Arial" w:hAnsi="Arial" w:cs="Arial"/>
        </w:rPr>
        <w:t>w fundamenty demokratycznego państwa prawa</w:t>
      </w:r>
      <w:r w:rsidR="00213F6E" w:rsidRPr="00EA1A28">
        <w:rPr>
          <w:rFonts w:ascii="Arial" w:hAnsi="Arial" w:cs="Arial"/>
        </w:rPr>
        <w:t xml:space="preserve">, które zostały wyrażone w art. 2 Konstytucji, a także w </w:t>
      </w:r>
      <w:r w:rsidRPr="00EA1A28">
        <w:rPr>
          <w:rFonts w:ascii="Arial" w:hAnsi="Arial" w:cs="Arial"/>
        </w:rPr>
        <w:t xml:space="preserve">szeroko określone standardy europejskie. </w:t>
      </w:r>
    </w:p>
    <w:p w14:paraId="3F145360" w14:textId="77777777" w:rsidR="000F04FB" w:rsidRPr="00EA1A28" w:rsidRDefault="000F04FB" w:rsidP="00EA1A28">
      <w:pPr>
        <w:spacing w:after="0"/>
        <w:jc w:val="both"/>
        <w:rPr>
          <w:rFonts w:ascii="Arial" w:hAnsi="Arial" w:cs="Arial"/>
        </w:rPr>
      </w:pPr>
    </w:p>
    <w:p w14:paraId="09CF7015" w14:textId="77777777" w:rsidR="000F04FB" w:rsidRDefault="00EA1A28" w:rsidP="00410C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przytoczonymi wyżej okolicznościami należy uznać, że podjęte przez funkcjonariuszy czynności nastąpiły z przekroczeniem posiadanych przez nic</w:t>
      </w:r>
      <w:r w:rsidR="00410C0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uprawnień.</w:t>
      </w:r>
      <w:r w:rsidR="00410C03">
        <w:rPr>
          <w:rFonts w:ascii="Arial" w:hAnsi="Arial" w:cs="Arial"/>
        </w:rPr>
        <w:t xml:space="preserve"> Tym samym dopuścili się oni przestępstwa z art. </w:t>
      </w:r>
      <w:r w:rsidR="00410C03" w:rsidRPr="00410C03">
        <w:rPr>
          <w:rFonts w:ascii="Arial" w:hAnsi="Arial" w:cs="Arial"/>
        </w:rPr>
        <w:t>2</w:t>
      </w:r>
      <w:r w:rsidR="00410C03">
        <w:rPr>
          <w:rFonts w:ascii="Arial" w:hAnsi="Arial" w:cs="Arial"/>
        </w:rPr>
        <w:t xml:space="preserve">31 § 1 Ustawy </w:t>
      </w:r>
      <w:r w:rsidR="00410C03" w:rsidRPr="00D14C70">
        <w:rPr>
          <w:rFonts w:ascii="Arial" w:hAnsi="Arial" w:cs="Arial"/>
        </w:rPr>
        <w:t>z 6 czerwca 1997 roku Kodeks karny.</w:t>
      </w:r>
      <w:r w:rsidR="00410C03">
        <w:rPr>
          <w:rFonts w:ascii="Arial" w:hAnsi="Arial" w:cs="Arial"/>
          <w:b/>
        </w:rPr>
        <w:t xml:space="preserve"> </w:t>
      </w:r>
      <w:r w:rsidR="00410C03">
        <w:rPr>
          <w:rFonts w:ascii="Arial" w:hAnsi="Arial" w:cs="Arial"/>
        </w:rPr>
        <w:t xml:space="preserve">Wobec powyższego, na podstawie art. 49 § 1 k.p.k. należy uznać </w:t>
      </w:r>
      <w:r w:rsidR="00D14C70">
        <w:rPr>
          <w:rFonts w:ascii="Arial" w:hAnsi="Arial" w:cs="Arial"/>
        </w:rPr>
        <w:t xml:space="preserve">Pana Wojciecha Kinasiewicza i Pana Taduesza Jakrzewskiego </w:t>
      </w:r>
      <w:r w:rsidR="00410C03">
        <w:rPr>
          <w:rFonts w:ascii="Arial" w:hAnsi="Arial" w:cs="Arial"/>
        </w:rPr>
        <w:t xml:space="preserve">za pokrzywdzonych i przez to posiadających legitymację czynną do wniesienia o wszczęcie postępowania przygotowawczego w niniejszej sprawie. </w:t>
      </w:r>
    </w:p>
    <w:p w14:paraId="760B7FD0" w14:textId="77777777" w:rsidR="000F04FB" w:rsidRDefault="000F04FB" w:rsidP="00410C03">
      <w:pPr>
        <w:spacing w:after="0"/>
        <w:jc w:val="both"/>
        <w:rPr>
          <w:rFonts w:ascii="Arial" w:hAnsi="Arial" w:cs="Arial"/>
        </w:rPr>
      </w:pPr>
    </w:p>
    <w:p w14:paraId="32333285" w14:textId="77777777" w:rsidR="000F04FB" w:rsidRDefault="000F04FB" w:rsidP="00410C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na uwadze, że naruszenie praw w niniejszej sprawie jest oczywiste, wnoszę</w:t>
      </w:r>
      <w:r w:rsidR="000B6464">
        <w:rPr>
          <w:rFonts w:ascii="Arial" w:hAnsi="Arial" w:cs="Arial"/>
        </w:rPr>
        <w:t>/</w:t>
      </w:r>
      <w:r w:rsidR="000303A3">
        <w:rPr>
          <w:rFonts w:ascii="Arial" w:hAnsi="Arial" w:cs="Arial"/>
        </w:rPr>
        <w:t>wnosimy</w:t>
      </w:r>
      <w:r>
        <w:rPr>
          <w:rFonts w:ascii="Arial" w:hAnsi="Arial" w:cs="Arial"/>
        </w:rPr>
        <w:t xml:space="preserve"> jak na wstępie. </w:t>
      </w:r>
    </w:p>
    <w:p w14:paraId="7125D7C7" w14:textId="77777777" w:rsidR="00EA1A28" w:rsidRDefault="00EA1A28" w:rsidP="00EA1A28">
      <w:pPr>
        <w:spacing w:after="0"/>
        <w:jc w:val="both"/>
        <w:rPr>
          <w:rFonts w:ascii="Arial" w:hAnsi="Arial" w:cs="Arial"/>
        </w:rPr>
      </w:pPr>
    </w:p>
    <w:p w14:paraId="53D3E7BA" w14:textId="77777777" w:rsidR="00EA1A28" w:rsidRDefault="00EA1A28" w:rsidP="00EA1A28">
      <w:pPr>
        <w:spacing w:after="0"/>
        <w:jc w:val="both"/>
        <w:rPr>
          <w:rFonts w:ascii="Arial" w:hAnsi="Arial" w:cs="Arial"/>
        </w:rPr>
      </w:pPr>
    </w:p>
    <w:p w14:paraId="036D9CEC" w14:textId="77777777" w:rsidR="00A72665" w:rsidRDefault="00A72665" w:rsidP="00EA1A28">
      <w:pPr>
        <w:spacing w:after="0"/>
        <w:jc w:val="both"/>
        <w:rPr>
          <w:rFonts w:ascii="Arial" w:hAnsi="Arial" w:cs="Arial"/>
        </w:rPr>
      </w:pPr>
    </w:p>
    <w:p w14:paraId="1F29AEC0" w14:textId="77777777" w:rsidR="00A72665" w:rsidRDefault="00A72665" w:rsidP="00EA1A28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A72665" w14:paraId="198F570E" w14:textId="77777777" w:rsidTr="00A72665">
        <w:tc>
          <w:tcPr>
            <w:tcW w:w="4527" w:type="dxa"/>
          </w:tcPr>
          <w:p w14:paraId="1D21CB40" w14:textId="77777777" w:rsidR="00A72665" w:rsidRDefault="00A72665" w:rsidP="00A72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347F2560" w14:textId="77777777" w:rsidR="00A72665" w:rsidRDefault="00A72665" w:rsidP="00A72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 Jakrzewski</w:t>
            </w:r>
          </w:p>
        </w:tc>
        <w:tc>
          <w:tcPr>
            <w:tcW w:w="4527" w:type="dxa"/>
          </w:tcPr>
          <w:p w14:paraId="0CC9A686" w14:textId="77777777" w:rsidR="00A72665" w:rsidRDefault="00A72665" w:rsidP="00A72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2F062392" w14:textId="77777777" w:rsidR="00A72665" w:rsidRDefault="00A72665" w:rsidP="00A726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Wojciech Kinasiewicz</w:t>
            </w:r>
          </w:p>
        </w:tc>
      </w:tr>
    </w:tbl>
    <w:p w14:paraId="2B0B84B6" w14:textId="77777777" w:rsidR="00617D58" w:rsidRPr="00EA1A28" w:rsidRDefault="00617D58" w:rsidP="00617D58">
      <w:pPr>
        <w:spacing w:after="0"/>
        <w:ind w:left="5103"/>
        <w:jc w:val="center"/>
        <w:rPr>
          <w:rFonts w:ascii="Arial" w:hAnsi="Arial" w:cs="Arial"/>
        </w:rPr>
      </w:pPr>
    </w:p>
    <w:p w14:paraId="73EEFEAC" w14:textId="77777777" w:rsidR="00A72665" w:rsidRDefault="00A72665" w:rsidP="00EA1A28">
      <w:pPr>
        <w:spacing w:after="0"/>
        <w:jc w:val="both"/>
        <w:rPr>
          <w:rFonts w:ascii="Arial" w:hAnsi="Arial" w:cs="Arial"/>
        </w:rPr>
      </w:pPr>
    </w:p>
    <w:p w14:paraId="32AD1468" w14:textId="77777777" w:rsidR="00EA1A28" w:rsidRPr="00EA1A28" w:rsidRDefault="00561DF0" w:rsidP="00EA1A28">
      <w:pPr>
        <w:spacing w:after="0"/>
        <w:jc w:val="both"/>
        <w:rPr>
          <w:rFonts w:ascii="Arial" w:hAnsi="Arial" w:cs="Arial"/>
        </w:rPr>
      </w:pPr>
      <w:r w:rsidRPr="00EA1A28">
        <w:rPr>
          <w:rFonts w:ascii="Arial" w:hAnsi="Arial" w:cs="Arial"/>
        </w:rPr>
        <w:t>Załączniki:</w:t>
      </w:r>
    </w:p>
    <w:p w14:paraId="34F4A071" w14:textId="7DC8777D" w:rsidR="004F4570" w:rsidRPr="00EA1A28" w:rsidRDefault="001A2427" w:rsidP="00EA1A28">
      <w:pPr>
        <w:pStyle w:val="Akapitzlist"/>
        <w:numPr>
          <w:ilvl w:val="0"/>
          <w:numId w:val="12"/>
        </w:numPr>
        <w:tabs>
          <w:tab w:val="num" w:pos="720"/>
        </w:tabs>
        <w:spacing w:after="0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wydruki kserokopii publikacji z </w:t>
      </w:r>
      <w:r w:rsidR="00DE131A" w:rsidRPr="00EA1A28">
        <w:rPr>
          <w:rFonts w:ascii="Arial" w:hAnsi="Arial" w:cs="Arial"/>
        </w:rPr>
        <w:t>egzemplarz</w:t>
      </w:r>
      <w:r>
        <w:rPr>
          <w:rFonts w:ascii="Arial" w:hAnsi="Arial" w:cs="Arial"/>
        </w:rPr>
        <w:t>a</w:t>
      </w:r>
      <w:r w:rsidR="00DE131A" w:rsidRPr="00EA1A28">
        <w:rPr>
          <w:rFonts w:ascii="Arial" w:hAnsi="Arial" w:cs="Arial"/>
        </w:rPr>
        <w:t xml:space="preserve"> dziennika „Gazeta Wyborcza” z 27 lipca 2017 roku</w:t>
      </w:r>
      <w:r w:rsidR="00637796" w:rsidRPr="00EA1A28">
        <w:rPr>
          <w:rFonts w:ascii="Arial" w:hAnsi="Arial" w:cs="Arial"/>
        </w:rPr>
        <w:t>;</w:t>
      </w:r>
    </w:p>
    <w:p w14:paraId="33DF171D" w14:textId="77777777" w:rsidR="001A2427" w:rsidRDefault="001A2427" w:rsidP="00EA1A28">
      <w:pPr>
        <w:pStyle w:val="Akapitzlist"/>
        <w:numPr>
          <w:ilvl w:val="0"/>
          <w:numId w:val="12"/>
        </w:numPr>
        <w:tabs>
          <w:tab w:val="num" w:pos="720"/>
        </w:tabs>
        <w:spacing w:after="0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link do </w:t>
      </w:r>
      <w:r w:rsidR="00DE131A" w:rsidRPr="00EA1A28">
        <w:rPr>
          <w:rFonts w:ascii="Arial" w:hAnsi="Arial" w:cs="Arial"/>
        </w:rPr>
        <w:t>nagrania z nasłuchu policyjnego</w:t>
      </w:r>
      <w:r>
        <w:rPr>
          <w:rFonts w:ascii="Arial" w:hAnsi="Arial" w:cs="Arial"/>
        </w:rPr>
        <w:t>:</w:t>
      </w:r>
    </w:p>
    <w:p w14:paraId="27BBCD8B" w14:textId="0A894564" w:rsidR="00637796" w:rsidRPr="00EA1A28" w:rsidRDefault="005F23E0" w:rsidP="001A2427">
      <w:pPr>
        <w:pStyle w:val="Akapitzlist"/>
        <w:spacing w:after="0"/>
        <w:jc w:val="both"/>
        <w:rPr>
          <w:rFonts w:ascii="Arial" w:hAnsi="Arial" w:cs="Arial"/>
        </w:rPr>
      </w:pPr>
      <w:r w:rsidRPr="005F23E0">
        <w:rPr>
          <w:rFonts w:ascii="Arial" w:hAnsi="Arial" w:cs="Arial"/>
        </w:rPr>
        <w:t>http://warszawa.wyborcza.pl/warszawa/7,54420,22155049,policja-inwigiluje-obywateli-rp-i-posla-na-sejm-mamy-nagranie.html</w:t>
      </w:r>
      <w:r w:rsidR="00637796" w:rsidRPr="00EA1A28">
        <w:rPr>
          <w:rFonts w:ascii="Arial" w:hAnsi="Arial" w:cs="Arial"/>
        </w:rPr>
        <w:t>;</w:t>
      </w:r>
    </w:p>
    <w:sectPr w:rsidR="00637796" w:rsidRPr="00EA1A28">
      <w:footerReference w:type="default" r:id="rId9"/>
      <w:pgSz w:w="11900" w:h="16840"/>
      <w:pgMar w:top="1678" w:right="1418" w:bottom="1418" w:left="1418" w:header="90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7410" w14:textId="77777777" w:rsidR="00063A95" w:rsidRDefault="00063A95">
      <w:pPr>
        <w:spacing w:after="0" w:line="240" w:lineRule="auto"/>
      </w:pPr>
      <w:r>
        <w:separator/>
      </w:r>
    </w:p>
  </w:endnote>
  <w:endnote w:type="continuationSeparator" w:id="0">
    <w:p w14:paraId="7625DBDD" w14:textId="77777777" w:rsidR="00063A95" w:rsidRDefault="0006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 Bold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865064"/>
      <w:docPartObj>
        <w:docPartGallery w:val="Page Numbers (Bottom of Page)"/>
        <w:docPartUnique/>
      </w:docPartObj>
    </w:sdtPr>
    <w:sdtEndPr/>
    <w:sdtContent>
      <w:p w14:paraId="7792C259" w14:textId="0A1555BA" w:rsidR="00F4639F" w:rsidRDefault="00F463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093">
          <w:rPr>
            <w:noProof/>
          </w:rPr>
          <w:t>2</w:t>
        </w:r>
        <w:r>
          <w:fldChar w:fldCharType="end"/>
        </w:r>
      </w:p>
    </w:sdtContent>
  </w:sdt>
  <w:p w14:paraId="5436BF00" w14:textId="77777777" w:rsidR="00F4639F" w:rsidRDefault="00F4639F">
    <w:pPr>
      <w:pStyle w:val="Stopka"/>
      <w:tabs>
        <w:tab w:val="clear" w:pos="9072"/>
        <w:tab w:val="right" w:pos="904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D4D4A" w14:textId="77777777" w:rsidR="00063A95" w:rsidRDefault="00063A95">
      <w:pPr>
        <w:spacing w:after="0" w:line="240" w:lineRule="auto"/>
      </w:pPr>
      <w:r>
        <w:separator/>
      </w:r>
    </w:p>
  </w:footnote>
  <w:footnote w:type="continuationSeparator" w:id="0">
    <w:p w14:paraId="52621A18" w14:textId="77777777" w:rsidR="00063A95" w:rsidRDefault="0006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3D1"/>
    <w:multiLevelType w:val="multilevel"/>
    <w:tmpl w:val="D276A26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1351374C"/>
    <w:multiLevelType w:val="multilevel"/>
    <w:tmpl w:val="49AE159E"/>
    <w:styleLink w:val="Lista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2A315E11"/>
    <w:multiLevelType w:val="multilevel"/>
    <w:tmpl w:val="F8E87A0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2D596587"/>
    <w:multiLevelType w:val="multilevel"/>
    <w:tmpl w:val="5D74889C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3876455E"/>
    <w:multiLevelType w:val="multilevel"/>
    <w:tmpl w:val="E2625CFE"/>
    <w:styleLink w:val="Lista2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38C171BC"/>
    <w:multiLevelType w:val="multilevel"/>
    <w:tmpl w:val="19D8CAF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39442513"/>
    <w:multiLevelType w:val="hybridMultilevel"/>
    <w:tmpl w:val="AF68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63BDC"/>
    <w:multiLevelType w:val="multilevel"/>
    <w:tmpl w:val="6CFA4C7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3BC53927"/>
    <w:multiLevelType w:val="multilevel"/>
    <w:tmpl w:val="9058193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40B226E8"/>
    <w:multiLevelType w:val="multilevel"/>
    <w:tmpl w:val="88048F6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43125D8B"/>
    <w:multiLevelType w:val="multilevel"/>
    <w:tmpl w:val="CF3605B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4D78373C"/>
    <w:multiLevelType w:val="hybridMultilevel"/>
    <w:tmpl w:val="FEA48BC4"/>
    <w:lvl w:ilvl="0" w:tplc="9814AAC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 w15:restartNumberingAfterBreak="0">
    <w:nsid w:val="507D17C3"/>
    <w:multiLevelType w:val="multilevel"/>
    <w:tmpl w:val="83E0B26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511E3E14"/>
    <w:multiLevelType w:val="multilevel"/>
    <w:tmpl w:val="76BA1DC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563E5D5A"/>
    <w:multiLevelType w:val="hybridMultilevel"/>
    <w:tmpl w:val="2C729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5605B"/>
    <w:multiLevelType w:val="multilevel"/>
    <w:tmpl w:val="49AE159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6" w15:restartNumberingAfterBreak="0">
    <w:nsid w:val="69FE14F5"/>
    <w:multiLevelType w:val="hybridMultilevel"/>
    <w:tmpl w:val="63B81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3"/>
    <w:lvlOverride w:ilvl="0">
      <w:lvl w:ilvl="0">
        <w:start w:val="1"/>
        <w:numFmt w:val="decimal"/>
        <w:lvlText w:val="%1."/>
        <w:lvlJc w:val="left"/>
        <w:rPr>
          <w:position w:val="0"/>
          <w:rtl w:val="0"/>
        </w:rPr>
      </w:lvl>
    </w:lvlOverride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15"/>
  </w:num>
  <w:num w:numId="14">
    <w:abstractNumId w:val="11"/>
  </w:num>
  <w:num w:numId="15">
    <w:abstractNumId w:val="14"/>
  </w:num>
  <w:num w:numId="16">
    <w:abstractNumId w:val="6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70"/>
    <w:rsid w:val="00015093"/>
    <w:rsid w:val="000303A3"/>
    <w:rsid w:val="00051633"/>
    <w:rsid w:val="00063A95"/>
    <w:rsid w:val="000649DB"/>
    <w:rsid w:val="0009413D"/>
    <w:rsid w:val="000B6464"/>
    <w:rsid w:val="000F04FB"/>
    <w:rsid w:val="000F6DA5"/>
    <w:rsid w:val="001514A3"/>
    <w:rsid w:val="00196416"/>
    <w:rsid w:val="001A2427"/>
    <w:rsid w:val="001B3DDB"/>
    <w:rsid w:val="001D77C0"/>
    <w:rsid w:val="001E0D9D"/>
    <w:rsid w:val="00213F6E"/>
    <w:rsid w:val="002216A2"/>
    <w:rsid w:val="00250EFF"/>
    <w:rsid w:val="00267EFF"/>
    <w:rsid w:val="00293C1C"/>
    <w:rsid w:val="002A1263"/>
    <w:rsid w:val="002C49BA"/>
    <w:rsid w:val="002D2841"/>
    <w:rsid w:val="002E6B38"/>
    <w:rsid w:val="0033006F"/>
    <w:rsid w:val="0033144A"/>
    <w:rsid w:val="00331D20"/>
    <w:rsid w:val="003667F7"/>
    <w:rsid w:val="00370D4C"/>
    <w:rsid w:val="0038681A"/>
    <w:rsid w:val="003910FC"/>
    <w:rsid w:val="003B355C"/>
    <w:rsid w:val="003C1A1E"/>
    <w:rsid w:val="003E0CDC"/>
    <w:rsid w:val="003F6A25"/>
    <w:rsid w:val="0040564E"/>
    <w:rsid w:val="00410C03"/>
    <w:rsid w:val="004329A1"/>
    <w:rsid w:val="004468E8"/>
    <w:rsid w:val="00447122"/>
    <w:rsid w:val="00471983"/>
    <w:rsid w:val="00472534"/>
    <w:rsid w:val="00472E83"/>
    <w:rsid w:val="00490AFF"/>
    <w:rsid w:val="004C26EC"/>
    <w:rsid w:val="004C3708"/>
    <w:rsid w:val="004E533F"/>
    <w:rsid w:val="004F4570"/>
    <w:rsid w:val="0052070F"/>
    <w:rsid w:val="005330A3"/>
    <w:rsid w:val="00544433"/>
    <w:rsid w:val="00556AF9"/>
    <w:rsid w:val="00561DF0"/>
    <w:rsid w:val="0057403B"/>
    <w:rsid w:val="005E0F9B"/>
    <w:rsid w:val="005F23E0"/>
    <w:rsid w:val="00617D58"/>
    <w:rsid w:val="00637796"/>
    <w:rsid w:val="00646C30"/>
    <w:rsid w:val="006606B1"/>
    <w:rsid w:val="006C35B1"/>
    <w:rsid w:val="006F36F8"/>
    <w:rsid w:val="00762055"/>
    <w:rsid w:val="007A3E9C"/>
    <w:rsid w:val="007B35DE"/>
    <w:rsid w:val="00807B43"/>
    <w:rsid w:val="008504D2"/>
    <w:rsid w:val="0088105A"/>
    <w:rsid w:val="008A4598"/>
    <w:rsid w:val="008B1313"/>
    <w:rsid w:val="008B5DAE"/>
    <w:rsid w:val="008C0997"/>
    <w:rsid w:val="008C4F8E"/>
    <w:rsid w:val="008F7E51"/>
    <w:rsid w:val="009048D9"/>
    <w:rsid w:val="0092789E"/>
    <w:rsid w:val="00932136"/>
    <w:rsid w:val="00967941"/>
    <w:rsid w:val="009748A8"/>
    <w:rsid w:val="00983CC0"/>
    <w:rsid w:val="00A07EDF"/>
    <w:rsid w:val="00A24A7A"/>
    <w:rsid w:val="00A26CF8"/>
    <w:rsid w:val="00A72665"/>
    <w:rsid w:val="00AB50C5"/>
    <w:rsid w:val="00AC0E4C"/>
    <w:rsid w:val="00AF2174"/>
    <w:rsid w:val="00AF3231"/>
    <w:rsid w:val="00B17862"/>
    <w:rsid w:val="00B64C7B"/>
    <w:rsid w:val="00B9688E"/>
    <w:rsid w:val="00BD166D"/>
    <w:rsid w:val="00C0792B"/>
    <w:rsid w:val="00C1446B"/>
    <w:rsid w:val="00C24A89"/>
    <w:rsid w:val="00C31484"/>
    <w:rsid w:val="00C50A8B"/>
    <w:rsid w:val="00CA424B"/>
    <w:rsid w:val="00CC1CDE"/>
    <w:rsid w:val="00CF7211"/>
    <w:rsid w:val="00D121D0"/>
    <w:rsid w:val="00D1403F"/>
    <w:rsid w:val="00D14C70"/>
    <w:rsid w:val="00D95CD7"/>
    <w:rsid w:val="00DE131A"/>
    <w:rsid w:val="00DE522B"/>
    <w:rsid w:val="00DF58D4"/>
    <w:rsid w:val="00DF7BD4"/>
    <w:rsid w:val="00E468DE"/>
    <w:rsid w:val="00E52BF8"/>
    <w:rsid w:val="00E52D2C"/>
    <w:rsid w:val="00E55438"/>
    <w:rsid w:val="00E6565D"/>
    <w:rsid w:val="00EA1A28"/>
    <w:rsid w:val="00EA323E"/>
    <w:rsid w:val="00EA5B5B"/>
    <w:rsid w:val="00EA7B18"/>
    <w:rsid w:val="00EF74A9"/>
    <w:rsid w:val="00F3371D"/>
    <w:rsid w:val="00F337EC"/>
    <w:rsid w:val="00F4639F"/>
    <w:rsid w:val="00F51FEB"/>
    <w:rsid w:val="00F808FD"/>
    <w:rsid w:val="00FA44C6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32168"/>
  <w15:docId w15:val="{40AE1AD3-DD0D-4FFB-BD3D-D0BC1DFC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18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9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4"/>
    <w:pPr>
      <w:numPr>
        <w:numId w:val="12"/>
      </w:numPr>
    </w:pPr>
  </w:style>
  <w:style w:type="numbering" w:customStyle="1" w:styleId="Zaimportowanystyl4">
    <w:name w:val="Zaimportowany styl 4"/>
  </w:style>
  <w:style w:type="character" w:styleId="Odwoaniedokomentarza">
    <w:name w:val="annotation reference"/>
    <w:basedOn w:val="Domylnaczcionkaakapitu"/>
    <w:uiPriority w:val="99"/>
    <w:semiHidden/>
    <w:unhideWhenUsed/>
    <w:rsid w:val="002A1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263"/>
    <w:rPr>
      <w:rFonts w:ascii="Trebuchet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263"/>
    <w:rPr>
      <w:rFonts w:ascii="Trebuchet MS" w:hAnsi="Arial Unicode MS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263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5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33"/>
    <w:rPr>
      <w:rFonts w:ascii="Trebuchet MS" w:hAnsi="Arial Unicode MS" w:cs="Arial Unicode MS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F337EC"/>
    <w:rPr>
      <w:rFonts w:ascii="Trebuchet MS" w:hAnsi="Arial Unicode MS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A72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rswglryguytgojsgy2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50BD-B78B-4789-B803-C994C92A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Rafał Szymczak</cp:lastModifiedBy>
  <cp:revision>2</cp:revision>
  <cp:lastPrinted>2017-07-28T14:58:00Z</cp:lastPrinted>
  <dcterms:created xsi:type="dcterms:W3CDTF">2017-08-24T14:52:00Z</dcterms:created>
  <dcterms:modified xsi:type="dcterms:W3CDTF">2017-08-24T14:52:00Z</dcterms:modified>
</cp:coreProperties>
</file>